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D713C" w:rsidRPr="000340DB" w:rsidRDefault="00C840BA" w:rsidP="00C840BA">
      <w:pPr>
        <w:jc w:val="center"/>
        <w:rPr>
          <w:rStyle w:val="Hyperlink"/>
          <w:color w:val="auto"/>
          <w:sz w:val="28"/>
          <w:szCs w:val="28"/>
          <w:u w:val="none"/>
        </w:rPr>
      </w:pPr>
      <w:r w:rsidRPr="000340DB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D41955E" wp14:editId="680C1E66">
                <wp:simplePos x="0" y="0"/>
                <wp:positionH relativeFrom="column">
                  <wp:posOffset>-104775</wp:posOffset>
                </wp:positionH>
                <wp:positionV relativeFrom="paragraph">
                  <wp:posOffset>571500</wp:posOffset>
                </wp:positionV>
                <wp:extent cx="5915025" cy="27527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752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0BA" w:rsidRPr="00C840BA" w:rsidRDefault="00C840BA" w:rsidP="00C840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40BA">
                              <w:rPr>
                                <w:b/>
                              </w:rPr>
                              <w:t>Haemoglobinopathy screening indicated?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Family history of previous alpha/beta thalassaemia or haemoglobin variant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Anaemic or microcytic, NOT iron deficient, appropriate family origin 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Red cell indices or morphological appearances are suggestive of a haemoglobinopathy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Pre-operative testing for at risk groups for HbS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HbA1c uninterpretable due to presence of variant Hb (as suggested by biochemistry report)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New arrival in UK with history of sickle cell/ beta thalassemia, or from “at risk” ethnic group</w:t>
                            </w:r>
                          </w:p>
                          <w:p w:rsidR="00C840BA" w:rsidRDefault="00C840BA" w:rsidP="00C840B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Single retest of teenager/ young adult previously identified as having variant </w:t>
                            </w:r>
                            <w:proofErr w:type="spellStart"/>
                            <w:r>
                              <w:t>Hb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Fonts w:ascii="Symbol" w:hAnsi="Symbol"/>
                              </w:rPr>
                              <w:t></w:t>
                            </w:r>
                            <w:r>
                              <w:rPr>
                                <w:rFonts w:ascii="Symbol" w:hAnsi="Symbol"/>
                                <w:vertAlign w:val="superscript"/>
                              </w:rPr>
                              <w:t></w:t>
                            </w:r>
                            <w:r>
                              <w:t xml:space="preserve"> or </w:t>
                            </w:r>
                            <w:r>
                              <w:rPr>
                                <w:rFonts w:ascii="Symbol" w:hAnsi="Symbol"/>
                              </w:rPr>
                              <w:t>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thal</w:t>
                            </w:r>
                            <w:proofErr w:type="spellEnd"/>
                            <w:r>
                              <w:t xml:space="preserve"> trait</w:t>
                            </w:r>
                          </w:p>
                          <w:p w:rsidR="00C840BA" w:rsidRDefault="00C840BA" w:rsidP="00C84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-8.25pt;margin-top:45pt;width:465.75pt;height:216.75pt;z-index:2516561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" fillcolor="white [3201]" strokecolor="black [3200]" strokeweight="2pt">
                <v:textbox>
                  <w:txbxContent>
                    <w:p w:rsidR="00C840BA" w:rsidRPr="00C840BA" w:rsidRDefault="00C840BA" w:rsidP="00C840BA">
                      <w:pPr>
                        <w:jc w:val="center"/>
                        <w:rPr>
                          <w:b/>
                        </w:rPr>
                      </w:pPr>
                      <w:r w:rsidRPr="00C840BA">
                        <w:rPr>
                          <w:b/>
                        </w:rPr>
                        <w:t>Haemoglobinopathy screening indicated?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Family history of previous alpha/beta thalassaemia or haemoglobin variant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Anaemic or microcytic, NOT iron deficient, appropriate family origin 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Red cell indices or morphological appearances are suggestive of a haemoglobinopathy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Pre-operative testing for at risk groups for HbS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HbA1c uninterpretable due to presence of variant Hb (as suggested by biochemistry report)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New arrival in UK with history of sickle cell/ beta thalassemia, or from “at risk” ethnic group</w:t>
                      </w:r>
                    </w:p>
                    <w:p w:rsidR="00C840BA" w:rsidRDefault="00C840BA" w:rsidP="00C840B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Single retest of teenager/ young adult previously identified as having variant Hb, </w:t>
                      </w:r>
                      <w:r>
                        <w:rPr>
                          <w:rFonts w:ascii="Symbol" w:hAnsi="Symbol"/>
                        </w:rPr>
                        <w:t></w:t>
                      </w:r>
                      <w:r>
                        <w:rPr>
                          <w:rFonts w:ascii="Symbol" w:hAnsi="Symbol"/>
                          <w:vertAlign w:val="superscript"/>
                        </w:rPr>
                        <w:t></w:t>
                      </w:r>
                      <w:r>
                        <w:t xml:space="preserve"> or </w:t>
                      </w:r>
                      <w:r>
                        <w:rPr>
                          <w:rFonts w:ascii="Symbol" w:hAnsi="Symbol"/>
                        </w:rPr>
                        <w:t></w:t>
                      </w:r>
                      <w:r>
                        <w:t xml:space="preserve"> </w:t>
                      </w:r>
                      <w:proofErr w:type="spellStart"/>
                      <w:r>
                        <w:t>thal</w:t>
                      </w:r>
                      <w:proofErr w:type="spellEnd"/>
                      <w:r>
                        <w:t xml:space="preserve"> trait</w:t>
                      </w:r>
                    </w:p>
                    <w:p w:rsidR="00C840BA" w:rsidRDefault="00C840BA" w:rsidP="00C840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340DB">
        <w:rPr>
          <w:rStyle w:val="Hyperlink"/>
          <w:color w:val="auto"/>
          <w:sz w:val="28"/>
          <w:szCs w:val="28"/>
          <w:u w:val="none"/>
        </w:rPr>
        <w:t xml:space="preserve">“Opportunistic” </w:t>
      </w:r>
      <w:proofErr w:type="spellStart"/>
      <w:r w:rsidRPr="000340DB">
        <w:rPr>
          <w:rStyle w:val="Hyperlink"/>
          <w:color w:val="auto"/>
          <w:sz w:val="28"/>
          <w:szCs w:val="28"/>
          <w:u w:val="none"/>
        </w:rPr>
        <w:t>haemoglobinopathy</w:t>
      </w:r>
      <w:proofErr w:type="spellEnd"/>
      <w:r w:rsidRPr="000340DB">
        <w:rPr>
          <w:rStyle w:val="Hyperlink"/>
          <w:color w:val="auto"/>
          <w:sz w:val="28"/>
          <w:szCs w:val="28"/>
          <w:u w:val="none"/>
        </w:rPr>
        <w:t xml:space="preserve"> screening </w:t>
      </w:r>
      <w:r w:rsidR="000340DB">
        <w:rPr>
          <w:rStyle w:val="Hyperlink"/>
          <w:color w:val="auto"/>
          <w:sz w:val="28"/>
          <w:szCs w:val="28"/>
          <w:u w:val="none"/>
        </w:rPr>
        <w:br/>
      </w:r>
      <w:r w:rsidRPr="000340DB">
        <w:rPr>
          <w:rStyle w:val="Hyperlink"/>
          <w:color w:val="auto"/>
          <w:sz w:val="28"/>
          <w:szCs w:val="28"/>
          <w:u w:val="none"/>
        </w:rPr>
        <w:t>(not including national antenatal or neonatal screening programmes)</w:t>
      </w:r>
    </w:p>
    <w:p w:rsidR="00C840BA" w:rsidRDefault="00C840BA" w:rsidP="00C57018">
      <w:pPr>
        <w:rPr>
          <w:rStyle w:val="Hyperlink"/>
          <w:color w:val="auto"/>
          <w:u w:val="none"/>
        </w:rPr>
      </w:pPr>
    </w:p>
    <w:p w:rsidR="00DD713C" w:rsidRDefault="00DD713C" w:rsidP="00C57018">
      <w:pPr>
        <w:rPr>
          <w:rStyle w:val="Hyperlink"/>
          <w:color w:val="auto"/>
          <w:u w:val="none"/>
        </w:rPr>
      </w:pPr>
    </w:p>
    <w:p w:rsidR="00EC1062" w:rsidRPr="00EC1062" w:rsidRDefault="00EC1062" w:rsidP="00C57018"/>
    <w:p w:rsidR="001B5CB8" w:rsidRPr="00D76EBE" w:rsidRDefault="000340DB" w:rsidP="00C570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9ABB9" wp14:editId="0CADABE8">
                <wp:simplePos x="0" y="0"/>
                <wp:positionH relativeFrom="column">
                  <wp:posOffset>2847975</wp:posOffset>
                </wp:positionH>
                <wp:positionV relativeFrom="paragraph">
                  <wp:posOffset>1735455</wp:posOffset>
                </wp:positionV>
                <wp:extent cx="0" cy="457200"/>
                <wp:effectExtent l="95250" t="0" r="7620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5875">
                          <a:tailEnd type="stealth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4.25pt;margin-top:136.65pt;width:0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" strokecolor="black [3040]" strokeweight="1.25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F3A48" wp14:editId="3E0BDEFB">
                <wp:simplePos x="0" y="0"/>
                <wp:positionH relativeFrom="column">
                  <wp:posOffset>2857500</wp:posOffset>
                </wp:positionH>
                <wp:positionV relativeFrom="paragraph">
                  <wp:posOffset>3954780</wp:posOffset>
                </wp:positionV>
                <wp:extent cx="0" cy="457200"/>
                <wp:effectExtent l="95250" t="0" r="7620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15875">
                          <a:tailEnd type="stealth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25pt;margin-top:311.4pt;width:0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" strokecolor="black [3040]" strokeweight="1.25pt">
                <v:stroke endarrow="classic" endarrowwidth="wide" endarrowlength="long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60FBECD3" wp14:editId="3BB94C9E">
                <wp:simplePos x="0" y="0"/>
                <wp:positionH relativeFrom="column">
                  <wp:posOffset>-104775</wp:posOffset>
                </wp:positionH>
                <wp:positionV relativeFrom="paragraph">
                  <wp:posOffset>4407535</wp:posOffset>
                </wp:positionV>
                <wp:extent cx="5915025" cy="171450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0DB" w:rsidRPr="00C840BA" w:rsidRDefault="000340DB" w:rsidP="000340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40BA">
                              <w:rPr>
                                <w:b/>
                              </w:rPr>
                              <w:t>On receipt of report</w:t>
                            </w:r>
                          </w:p>
                          <w:p w:rsidR="000340DB" w:rsidRDefault="000340DB" w:rsidP="000340DB">
                            <w:r>
                              <w:t>Document results in patient notes, to avoid retesting</w:t>
                            </w:r>
                          </w:p>
                          <w:p w:rsidR="000340DB" w:rsidRDefault="000340DB" w:rsidP="000340DB">
                            <w:r>
                              <w:t>For additional information/ guidance on interpretation, consult the GP gateway detailed guidance</w:t>
                            </w:r>
                          </w:p>
                          <w:p w:rsidR="000340DB" w:rsidRDefault="000340DB" w:rsidP="000340DB">
                            <w:r>
                              <w:t>Inform patient of results (whether positive or negative)</w:t>
                            </w:r>
                          </w:p>
                          <w:p w:rsidR="000340DB" w:rsidRDefault="000340DB" w:rsidP="000340DB">
                            <w:r>
                              <w:t>Encourage patient to attend for genetic counselling if this is indicated</w:t>
                            </w:r>
                          </w:p>
                          <w:p w:rsidR="000340DB" w:rsidRDefault="000340DB" w:rsidP="000340DB">
                            <w:r>
                              <w:t>Refer any patients with significant haemoglobinopathies to the appropriate specialist</w:t>
                            </w:r>
                          </w:p>
                          <w:p w:rsidR="000340DB" w:rsidRDefault="000340DB" w:rsidP="00034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7" style="position:absolute;margin-left:-8.25pt;margin-top:347.05pt;width:465.75pt;height:135pt;z-index:2516541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" fillcolor="white [3201]" strokecolor="black [3200]" strokeweight="2pt">
                <v:textbox>
                  <w:txbxContent>
                    <w:p w:rsidR="000340DB" w:rsidRPr="00C840BA" w:rsidRDefault="000340DB" w:rsidP="000340DB">
                      <w:pPr>
                        <w:jc w:val="center"/>
                        <w:rPr>
                          <w:b/>
                        </w:rPr>
                      </w:pPr>
                      <w:r w:rsidRPr="00C840BA">
                        <w:rPr>
                          <w:b/>
                        </w:rPr>
                        <w:t>On receipt of report</w:t>
                      </w:r>
                    </w:p>
                    <w:p w:rsidR="000340DB" w:rsidRDefault="000340DB" w:rsidP="000340DB">
                      <w:r>
                        <w:t>Document results in patient notes, to avoid retesting</w:t>
                      </w:r>
                    </w:p>
                    <w:p w:rsidR="000340DB" w:rsidRDefault="000340DB" w:rsidP="000340DB">
                      <w:r>
                        <w:t>For additional information/ guidance on interpretation, consult the GP gateway detailed guidance</w:t>
                      </w:r>
                    </w:p>
                    <w:p w:rsidR="000340DB" w:rsidRDefault="000340DB" w:rsidP="000340DB">
                      <w:r>
                        <w:t>Inform patient of results (whether positive or negative)</w:t>
                      </w:r>
                    </w:p>
                    <w:p w:rsidR="000340DB" w:rsidRDefault="000340DB" w:rsidP="000340DB">
                      <w:r>
                        <w:t>Encourage patient to attend for genetic counselling if this is indicated</w:t>
                      </w:r>
                    </w:p>
                    <w:p w:rsidR="000340DB" w:rsidRDefault="000340DB" w:rsidP="000340DB">
                      <w:r>
                        <w:t>Refer any patients with significant haemoglobinopathies to the appropriate specialist</w:t>
                      </w:r>
                    </w:p>
                    <w:p w:rsidR="000340DB" w:rsidRDefault="000340DB" w:rsidP="000340D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73CF32A" wp14:editId="68495983">
                <wp:simplePos x="0" y="0"/>
                <wp:positionH relativeFrom="column">
                  <wp:posOffset>-104775</wp:posOffset>
                </wp:positionH>
                <wp:positionV relativeFrom="paragraph">
                  <wp:posOffset>2188210</wp:posOffset>
                </wp:positionV>
                <wp:extent cx="5915025" cy="17716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0BA" w:rsidRPr="00C840BA" w:rsidRDefault="00C840BA" w:rsidP="00C840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840BA">
                              <w:rPr>
                                <w:b/>
                              </w:rPr>
                              <w:t>Request “Haemoglobinopathy screen”</w:t>
                            </w:r>
                          </w:p>
                          <w:p w:rsidR="00C840BA" w:rsidRDefault="00C840BA" w:rsidP="00C840BA">
                            <w:r>
                              <w:t>Include the following:</w:t>
                            </w:r>
                          </w:p>
                          <w:p w:rsidR="00C840BA" w:rsidRDefault="00C840BA" w:rsidP="00C840BA">
                            <w:r>
                              <w:t>Clinical details/ reason for request</w:t>
                            </w:r>
                          </w:p>
                          <w:p w:rsidR="00C840BA" w:rsidRDefault="00C840BA" w:rsidP="00C840BA">
                            <w:r>
                              <w:t>Ethnic origin (family origins, not place of birth)</w:t>
                            </w:r>
                          </w:p>
                          <w:p w:rsidR="00C840BA" w:rsidRDefault="00C840BA" w:rsidP="00C840BA">
                            <w:r>
                              <w:t>Iron status if known (consider requesting ferritin if iron status not known)</w:t>
                            </w:r>
                          </w:p>
                          <w:p w:rsidR="00C840BA" w:rsidRDefault="00C840BA" w:rsidP="00C84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margin-left:-8.25pt;margin-top:172.3pt;width:465.75pt;height:139.5pt;z-index:2516551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" fillcolor="white [3201]" strokecolor="black [3200]" strokeweight="2pt">
                <v:textbox>
                  <w:txbxContent>
                    <w:p w:rsidR="00C840BA" w:rsidRPr="00C840BA" w:rsidRDefault="00C840BA" w:rsidP="00C840BA">
                      <w:pPr>
                        <w:jc w:val="center"/>
                        <w:rPr>
                          <w:b/>
                        </w:rPr>
                      </w:pPr>
                      <w:r w:rsidRPr="00C840BA">
                        <w:rPr>
                          <w:b/>
                        </w:rPr>
                        <w:t>Request “Haemoglobinopathy screen”</w:t>
                      </w:r>
                    </w:p>
                    <w:p w:rsidR="00C840BA" w:rsidRDefault="00C840BA" w:rsidP="00C840BA">
                      <w:r>
                        <w:t>Include the following:</w:t>
                      </w:r>
                    </w:p>
                    <w:p w:rsidR="00C840BA" w:rsidRDefault="00C840BA" w:rsidP="00C840BA">
                      <w:r>
                        <w:t>Clinical details/ reason for request</w:t>
                      </w:r>
                    </w:p>
                    <w:p w:rsidR="00C840BA" w:rsidRDefault="00C840BA" w:rsidP="00C840BA">
                      <w:r>
                        <w:t>Ethnic origin (family origins, not place of birth)</w:t>
                      </w:r>
                    </w:p>
                    <w:p w:rsidR="00C840BA" w:rsidRDefault="00C840BA" w:rsidP="00C840BA">
                      <w:r>
                        <w:t>Iron status if known (consider requesting ferritin if iron status not known)</w:t>
                      </w:r>
                    </w:p>
                    <w:p w:rsidR="00C840BA" w:rsidRDefault="00C840BA" w:rsidP="00C840B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1B5CB8" w:rsidRPr="00D76EBE" w:rsidSect="00FD4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59B"/>
    <w:multiLevelType w:val="hybridMultilevel"/>
    <w:tmpl w:val="C1B8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7617D"/>
    <w:multiLevelType w:val="hybridMultilevel"/>
    <w:tmpl w:val="865E6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286"/>
    <w:multiLevelType w:val="hybridMultilevel"/>
    <w:tmpl w:val="F5FC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C1BB3"/>
    <w:multiLevelType w:val="hybridMultilevel"/>
    <w:tmpl w:val="CB2CC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05A65"/>
    <w:multiLevelType w:val="hybridMultilevel"/>
    <w:tmpl w:val="2DF2F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C403B"/>
    <w:multiLevelType w:val="hybridMultilevel"/>
    <w:tmpl w:val="9AF0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81FF7"/>
    <w:multiLevelType w:val="hybridMultilevel"/>
    <w:tmpl w:val="13EA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E13D9"/>
    <w:multiLevelType w:val="hybridMultilevel"/>
    <w:tmpl w:val="3138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44BAC"/>
    <w:multiLevelType w:val="hybridMultilevel"/>
    <w:tmpl w:val="DA5CB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1D"/>
    <w:rsid w:val="000279D9"/>
    <w:rsid w:val="000340DB"/>
    <w:rsid w:val="001A09C8"/>
    <w:rsid w:val="001B5CB8"/>
    <w:rsid w:val="00216E2E"/>
    <w:rsid w:val="00263556"/>
    <w:rsid w:val="002D4B70"/>
    <w:rsid w:val="002F03B0"/>
    <w:rsid w:val="00306028"/>
    <w:rsid w:val="003C6E3B"/>
    <w:rsid w:val="00422D1D"/>
    <w:rsid w:val="004C3D82"/>
    <w:rsid w:val="004C46C8"/>
    <w:rsid w:val="004D5635"/>
    <w:rsid w:val="0062518F"/>
    <w:rsid w:val="0077694D"/>
    <w:rsid w:val="007B4C8A"/>
    <w:rsid w:val="00826456"/>
    <w:rsid w:val="00873BB1"/>
    <w:rsid w:val="008B366C"/>
    <w:rsid w:val="008E2D37"/>
    <w:rsid w:val="009309C8"/>
    <w:rsid w:val="009C6969"/>
    <w:rsid w:val="00A111FD"/>
    <w:rsid w:val="00AB428F"/>
    <w:rsid w:val="00B55309"/>
    <w:rsid w:val="00C57018"/>
    <w:rsid w:val="00C8241F"/>
    <w:rsid w:val="00C840BA"/>
    <w:rsid w:val="00D70071"/>
    <w:rsid w:val="00D76EBE"/>
    <w:rsid w:val="00DD713C"/>
    <w:rsid w:val="00DD782F"/>
    <w:rsid w:val="00E05DE3"/>
    <w:rsid w:val="00E0716B"/>
    <w:rsid w:val="00EB2239"/>
    <w:rsid w:val="00EC1062"/>
    <w:rsid w:val="00F60BA3"/>
    <w:rsid w:val="00F71B57"/>
    <w:rsid w:val="00FA39E1"/>
    <w:rsid w:val="00FD4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5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8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B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56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639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 Coventry And Warwickshire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</dc:creator>
  <cp:lastModifiedBy>Mahal Kiranpal (05A) NHS Coventry &amp; Rugby CCG</cp:lastModifiedBy>
  <cp:revision>2</cp:revision>
  <dcterms:created xsi:type="dcterms:W3CDTF">2017-05-25T10:42:00Z</dcterms:created>
  <dcterms:modified xsi:type="dcterms:W3CDTF">2017-05-25T10:42:00Z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1477531415</vt:i4>
  </property>
  <property fmtid="{D5CDD505-2E9C-101B-9397-08002B2CF9AE}" pid="4" name="_EmailSubject">
    <vt:lpwstr>GP Gateway - UHCW Haematology contact</vt:lpwstr>
  </property>
  <property fmtid="{D5CDD505-2E9C-101B-9397-08002B2CF9AE}" pid="5" name="_AuthorEmail">
    <vt:lpwstr>Sarah.Nicolle@uhcw.nhs.uk</vt:lpwstr>
  </property>
  <property fmtid="{D5CDD505-2E9C-101B-9397-08002B2CF9AE}" pid="6" name="_AuthorEmailDisplayName">
    <vt:lpwstr>Nicolle Sarah (RKB) Consultant - Haematology</vt:lpwstr>
  </property>
  <property fmtid="{D5CDD505-2E9C-101B-9397-08002B2CF9AE}" pid="7" name="_ReviewingToolsShownOnce">
    <vt:lpwstr/>
  </property>
</Properties>
</file>