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24" w:rsidRDefault="000F3624" w:rsidP="001E4E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Prior Approval for</w:t>
      </w:r>
    </w:p>
    <w:p w:rsidR="002D037F" w:rsidRPr="001B146B" w:rsidRDefault="000F3624" w:rsidP="001E4E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 Primary Hip Replacement Surgery and Primary Knee Replacement Surgery</w:t>
      </w:r>
    </w:p>
    <w:p w:rsidR="002D037F" w:rsidRPr="001B146B" w:rsidRDefault="002D037F" w:rsidP="00D95D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2D037F" w:rsidRPr="001B146B" w:rsidRDefault="002D037F" w:rsidP="001E4E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1B146B">
        <w:rPr>
          <w:rFonts w:ascii="Arial" w:hAnsi="Arial" w:cs="Arial"/>
          <w:b/>
          <w:bCs/>
          <w:color w:val="000000"/>
          <w:u w:val="single"/>
        </w:rPr>
        <w:t>Information for GPs</w:t>
      </w:r>
    </w:p>
    <w:p w:rsidR="002D037F" w:rsidRPr="001B146B" w:rsidRDefault="002D037F" w:rsidP="00D95D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D037F" w:rsidRPr="001B146B" w:rsidRDefault="003016F8" w:rsidP="00D95D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48DD4"/>
        </w:rPr>
      </w:pPr>
      <w:r w:rsidRPr="001B146B">
        <w:rPr>
          <w:rFonts w:ascii="Arial" w:hAnsi="Arial" w:cs="Arial"/>
          <w:b/>
          <w:bCs/>
          <w:color w:val="548DD4"/>
        </w:rPr>
        <w:t>Introduction</w:t>
      </w:r>
    </w:p>
    <w:p w:rsidR="002D037F" w:rsidRDefault="002D037F" w:rsidP="00F05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B146B">
        <w:rPr>
          <w:rFonts w:ascii="Arial" w:hAnsi="Arial" w:cs="Arial"/>
          <w:color w:val="000000"/>
        </w:rPr>
        <w:t xml:space="preserve">Coventry and Rugby CCG receive a fixed budget to Commission Healthcare Services; </w:t>
      </w:r>
      <w:r w:rsidR="00845745" w:rsidRPr="001B146B">
        <w:rPr>
          <w:rFonts w:ascii="Arial" w:hAnsi="Arial" w:cs="Arial"/>
          <w:color w:val="000000"/>
        </w:rPr>
        <w:t xml:space="preserve">and is therefore </w:t>
      </w:r>
      <w:r w:rsidRPr="001B146B">
        <w:rPr>
          <w:rFonts w:ascii="Arial" w:hAnsi="Arial" w:cs="Arial"/>
          <w:color w:val="000000"/>
        </w:rPr>
        <w:t>not able to routinely fund all treatments and procedures. The CCG may decide that a treatment or procedure should not be routinely funded because:</w:t>
      </w:r>
    </w:p>
    <w:p w:rsidR="00403738" w:rsidRPr="001B146B" w:rsidRDefault="00403738" w:rsidP="00F05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016F8" w:rsidRDefault="003016F8" w:rsidP="00F0548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B146B">
        <w:rPr>
          <w:rFonts w:ascii="Arial" w:hAnsi="Arial" w:cs="Arial"/>
          <w:color w:val="000000"/>
        </w:rPr>
        <w:t>Treatment is subject to a clinical eligibility threshold (the patient has to satisfy certain criteria to receive treatment.</w:t>
      </w:r>
    </w:p>
    <w:p w:rsidR="00403738" w:rsidRDefault="00403738" w:rsidP="004037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E7D6C" w:rsidRDefault="00403738" w:rsidP="004037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Policies outlining any restrictions, thresholds for treatment and eligibility criteria for each procedure are </w:t>
      </w:r>
      <w:r w:rsidR="000E7D6C">
        <w:rPr>
          <w:rFonts w:ascii="Arial" w:hAnsi="Arial" w:cs="Arial"/>
          <w:color w:val="000000"/>
        </w:rPr>
        <w:t>available on the CCG website at:</w:t>
      </w:r>
    </w:p>
    <w:p w:rsidR="000E7D6C" w:rsidRDefault="000E7D6C" w:rsidP="004037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E7D6C" w:rsidRDefault="00455C8D" w:rsidP="003A2F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hyperlink r:id="rId8" w:history="1">
        <w:r w:rsidR="000E7D6C" w:rsidRPr="00D25F16">
          <w:rPr>
            <w:rStyle w:val="Hyperlink"/>
            <w:rFonts w:ascii="Arial" w:hAnsi="Arial" w:cs="Arial"/>
          </w:rPr>
          <w:t>http://www.coventryrugbyccg.nhs.uk/About-Us/Publications-and-Policies/Policies</w:t>
        </w:r>
      </w:hyperlink>
    </w:p>
    <w:p w:rsidR="000E7D6C" w:rsidRDefault="000E7D6C" w:rsidP="004037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745A0" w:rsidRPr="00730EBF" w:rsidRDefault="005745A0" w:rsidP="005745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48DD4"/>
        </w:rPr>
      </w:pPr>
      <w:r w:rsidRPr="00730EBF">
        <w:rPr>
          <w:rFonts w:ascii="Arial" w:hAnsi="Arial" w:cs="Arial"/>
          <w:b/>
          <w:bCs/>
          <w:color w:val="548DD4"/>
        </w:rPr>
        <w:t>Responsibilities for GPs</w:t>
      </w:r>
    </w:p>
    <w:p w:rsidR="005745A0" w:rsidRDefault="005745A0" w:rsidP="005745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0EBF">
        <w:rPr>
          <w:rFonts w:ascii="Arial" w:hAnsi="Arial" w:cs="Arial"/>
        </w:rPr>
        <w:t xml:space="preserve">GPs should be aware of </w:t>
      </w:r>
      <w:r w:rsidR="00C01895">
        <w:rPr>
          <w:rFonts w:ascii="Arial" w:hAnsi="Arial" w:cs="Arial"/>
        </w:rPr>
        <w:t>treatments subject to a clinical eligibility threshold</w:t>
      </w:r>
      <w:r>
        <w:rPr>
          <w:rFonts w:ascii="Arial" w:hAnsi="Arial" w:cs="Arial"/>
        </w:rPr>
        <w:t xml:space="preserve"> before referring any patients and</w:t>
      </w:r>
      <w:r w:rsidRPr="00730EBF">
        <w:rPr>
          <w:rFonts w:ascii="Arial" w:hAnsi="Arial" w:cs="Arial"/>
        </w:rPr>
        <w:t xml:space="preserve"> should ensure that patients understand when there is likely to be no treatment offered on the NHS. Patients ultimately have the right to a second opinion from a consultant, but in general we hope that the GPs explanation of the system will suffice.</w:t>
      </w:r>
    </w:p>
    <w:p w:rsidR="005745A0" w:rsidRDefault="005745A0" w:rsidP="005745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45A0" w:rsidRPr="000E197E" w:rsidRDefault="005745A0" w:rsidP="005745A0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GPs should ensure that any referral made,</w:t>
      </w:r>
      <w:r w:rsidRPr="000E197E">
        <w:rPr>
          <w:rFonts w:ascii="Arial" w:hAnsi="Arial" w:cs="Arial"/>
        </w:rPr>
        <w:t xml:space="preserve"> is compliant with </w:t>
      </w:r>
      <w:r>
        <w:rPr>
          <w:rFonts w:ascii="Arial" w:hAnsi="Arial" w:cs="Arial"/>
        </w:rPr>
        <w:t xml:space="preserve">the </w:t>
      </w:r>
      <w:r w:rsidR="00C01895">
        <w:rPr>
          <w:rFonts w:ascii="Arial" w:hAnsi="Arial" w:cs="Arial"/>
        </w:rPr>
        <w:t>clinical eligibility threshold</w:t>
      </w:r>
      <w:r w:rsidRPr="000E197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non-compliant referrals </w:t>
      </w:r>
      <w:r w:rsidRPr="000E197E">
        <w:rPr>
          <w:rFonts w:ascii="Arial" w:hAnsi="Arial" w:cs="Arial"/>
        </w:rPr>
        <w:t xml:space="preserve">will be returned to the GP </w:t>
      </w:r>
      <w:r>
        <w:rPr>
          <w:rFonts w:ascii="Arial" w:hAnsi="Arial" w:cs="Arial"/>
        </w:rPr>
        <w:t>with the expectation that the GP will</w:t>
      </w:r>
      <w:r w:rsidRPr="000E197E">
        <w:rPr>
          <w:rFonts w:ascii="Arial" w:hAnsi="Arial" w:cs="Arial"/>
        </w:rPr>
        <w:t xml:space="preserve"> manage the patient. </w:t>
      </w:r>
    </w:p>
    <w:p w:rsidR="005745A0" w:rsidRDefault="005745A0" w:rsidP="00F05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745A0" w:rsidRPr="00C231D0" w:rsidRDefault="005745A0" w:rsidP="00C018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48DD4"/>
        </w:rPr>
      </w:pPr>
      <w:r w:rsidRPr="00C231D0">
        <w:rPr>
          <w:rFonts w:ascii="Arial" w:hAnsi="Arial" w:cs="Arial"/>
          <w:b/>
          <w:bCs/>
          <w:color w:val="548DD4"/>
        </w:rPr>
        <w:t>Prior Approval Process</w:t>
      </w:r>
      <w:r w:rsidR="00C01895">
        <w:rPr>
          <w:rFonts w:ascii="Arial" w:hAnsi="Arial" w:cs="Arial"/>
          <w:b/>
          <w:bCs/>
          <w:color w:val="548DD4"/>
        </w:rPr>
        <w:t xml:space="preserve"> for Primary Hip Replacement Surgery &amp; Primary Knee Replacement Surgery</w:t>
      </w:r>
    </w:p>
    <w:p w:rsidR="005745A0" w:rsidRPr="00C54F9A" w:rsidRDefault="005745A0" w:rsidP="00574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54F9A">
        <w:rPr>
          <w:rFonts w:ascii="Arial" w:hAnsi="Arial" w:cs="Arial"/>
          <w:bCs/>
        </w:rPr>
        <w:t>In general, when referring patients GPs should include patient history relevant to the policies to enable funding decisions to be made.</w:t>
      </w:r>
    </w:p>
    <w:p w:rsidR="005745A0" w:rsidRDefault="005745A0" w:rsidP="00574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48DD4"/>
          <w:sz w:val="24"/>
          <w:szCs w:val="24"/>
        </w:rPr>
      </w:pPr>
    </w:p>
    <w:p w:rsidR="005745A0" w:rsidRDefault="005745A0" w:rsidP="005745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order to streamline the process,</w:t>
      </w:r>
      <w:r w:rsidR="00AC66A0">
        <w:rPr>
          <w:rFonts w:ascii="Arial" w:hAnsi="Arial" w:cs="Arial"/>
        </w:rPr>
        <w:t xml:space="preserve"> for referrals for Primary Hip or Knee replacement surgery</w:t>
      </w:r>
      <w:r>
        <w:rPr>
          <w:rFonts w:ascii="Arial" w:hAnsi="Arial" w:cs="Arial"/>
        </w:rPr>
        <w:t xml:space="preserve"> the CCG has implemented a process for referrals to be approved before an appointment is made with a provider.  </w:t>
      </w:r>
    </w:p>
    <w:p w:rsidR="003A2F65" w:rsidRDefault="003A2F65" w:rsidP="005745A0">
      <w:pPr>
        <w:spacing w:after="0" w:line="240" w:lineRule="auto"/>
        <w:jc w:val="both"/>
        <w:rPr>
          <w:rFonts w:ascii="Arial" w:hAnsi="Arial" w:cs="Arial"/>
        </w:rPr>
      </w:pPr>
    </w:p>
    <w:p w:rsidR="00F2147E" w:rsidRDefault="005745A0" w:rsidP="00574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0E197E">
        <w:rPr>
          <w:rFonts w:ascii="Arial" w:hAnsi="Arial" w:cs="Arial"/>
        </w:rPr>
        <w:t>For the</w:t>
      </w:r>
      <w:r>
        <w:rPr>
          <w:rFonts w:ascii="Arial" w:hAnsi="Arial" w:cs="Arial"/>
        </w:rPr>
        <w:t>se</w:t>
      </w:r>
      <w:r w:rsidRPr="000E197E">
        <w:rPr>
          <w:rFonts w:ascii="Arial" w:hAnsi="Arial" w:cs="Arial"/>
        </w:rPr>
        <w:t xml:space="preserve"> </w:t>
      </w:r>
      <w:r w:rsidR="00AC66A0">
        <w:rPr>
          <w:rFonts w:ascii="Arial" w:hAnsi="Arial" w:cs="Arial"/>
        </w:rPr>
        <w:t>two</w:t>
      </w:r>
      <w:r w:rsidRPr="000E197E">
        <w:rPr>
          <w:rFonts w:ascii="Arial" w:hAnsi="Arial" w:cs="Arial"/>
        </w:rPr>
        <w:t xml:space="preserve"> procedures GPs should use the appropriate form for the procedure the patient is being referred for</w:t>
      </w:r>
      <w:r w:rsidR="00F2147E">
        <w:rPr>
          <w:rFonts w:ascii="Arial" w:hAnsi="Arial" w:cs="Arial"/>
        </w:rPr>
        <w:t>, these can be found in documents on GP Gateway</w:t>
      </w:r>
      <w:r w:rsidRPr="000E19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2147E" w:rsidRDefault="00F2147E" w:rsidP="00574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3A2F65" w:rsidRDefault="005745A0" w:rsidP="00574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  <w:sectPr w:rsidR="003A2F65" w:rsidSect="003A2F65">
          <w:footerReference w:type="default" r:id="rId9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30EBF">
        <w:rPr>
          <w:rFonts w:ascii="Arial" w:hAnsi="Arial" w:cs="Arial"/>
        </w:rPr>
        <w:t xml:space="preserve">The RSS team will provide prior approval if appropriate, liaising with the </w:t>
      </w:r>
    </w:p>
    <w:p w:rsidR="005745A0" w:rsidRDefault="005745A0" w:rsidP="00574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proofErr w:type="gramStart"/>
      <w:r w:rsidRPr="00730EBF">
        <w:rPr>
          <w:rFonts w:ascii="Arial" w:hAnsi="Arial" w:cs="Arial"/>
        </w:rPr>
        <w:lastRenderedPageBreak/>
        <w:t>CSU IFR team.</w:t>
      </w:r>
      <w:proofErr w:type="gramEnd"/>
      <w:r>
        <w:rPr>
          <w:rFonts w:ascii="Arial" w:hAnsi="Arial" w:cs="Arial"/>
        </w:rPr>
        <w:t xml:space="preserve"> Any referrals received by the RSS team which do not meet the referral criteria will returned to the GP for management of the patient in Primary Care.</w:t>
      </w:r>
    </w:p>
    <w:p w:rsidR="00F2147E" w:rsidRDefault="00F2147E" w:rsidP="00574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B3EEE" w:rsidRDefault="005B3EEE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AC66A0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548DD4"/>
        </w:rPr>
        <w:lastRenderedPageBreak/>
        <w:t>Flow Chart – RSS Prior Approval Process for Primary Hip or Knee Replacement Surgery</w:t>
      </w: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5B3EEE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7AD6977" wp14:editId="568C5013">
            <wp:extent cx="5895474" cy="727509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4378" cy="7273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D4A98" w:rsidRDefault="006D4A98" w:rsidP="00072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D4A98" w:rsidSect="00AC66A0">
      <w:type w:val="continuous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7E" w:rsidRDefault="00B25E7E" w:rsidP="00281CA4">
      <w:pPr>
        <w:spacing w:after="0" w:line="240" w:lineRule="auto"/>
      </w:pPr>
      <w:r>
        <w:separator/>
      </w:r>
    </w:p>
  </w:endnote>
  <w:endnote w:type="continuationSeparator" w:id="0">
    <w:p w:rsidR="00B25E7E" w:rsidRDefault="00B25E7E" w:rsidP="0028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Co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7F" w:rsidRPr="001E4EEB" w:rsidRDefault="002D037F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7E" w:rsidRDefault="00B25E7E" w:rsidP="00281CA4">
      <w:pPr>
        <w:spacing w:after="0" w:line="240" w:lineRule="auto"/>
      </w:pPr>
      <w:r>
        <w:separator/>
      </w:r>
    </w:p>
  </w:footnote>
  <w:footnote w:type="continuationSeparator" w:id="0">
    <w:p w:rsidR="00B25E7E" w:rsidRDefault="00B25E7E" w:rsidP="00281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5BD"/>
    <w:multiLevelType w:val="hybridMultilevel"/>
    <w:tmpl w:val="647662AA"/>
    <w:lvl w:ilvl="0" w:tplc="12083C6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0971D2"/>
    <w:multiLevelType w:val="hybridMultilevel"/>
    <w:tmpl w:val="A1EC4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C254F"/>
    <w:multiLevelType w:val="hybridMultilevel"/>
    <w:tmpl w:val="8A66FF48"/>
    <w:lvl w:ilvl="0" w:tplc="74B8352E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1D11413F"/>
    <w:multiLevelType w:val="hybridMultilevel"/>
    <w:tmpl w:val="157A3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3C7C33D3"/>
    <w:multiLevelType w:val="hybridMultilevel"/>
    <w:tmpl w:val="27EA97AA"/>
    <w:lvl w:ilvl="0" w:tplc="CCC2B2E4">
      <w:start w:val="1"/>
      <w:numFmt w:val="decimal"/>
      <w:lvlText w:val="%1."/>
      <w:lvlJc w:val="left"/>
      <w:pPr>
        <w:ind w:left="720" w:hanging="360"/>
      </w:pPr>
      <w:rPr>
        <w:rFonts w:ascii="FrutigerLTCom-Bold" w:eastAsia="Times New Roman" w:hAnsi="FrutigerLTCom-Bold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B46F1"/>
    <w:multiLevelType w:val="hybridMultilevel"/>
    <w:tmpl w:val="D12C0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5740F"/>
    <w:multiLevelType w:val="hybridMultilevel"/>
    <w:tmpl w:val="639A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61484"/>
    <w:multiLevelType w:val="hybridMultilevel"/>
    <w:tmpl w:val="CF88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ABB037E"/>
    <w:multiLevelType w:val="hybridMultilevel"/>
    <w:tmpl w:val="492A1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5ADE36EB"/>
    <w:multiLevelType w:val="hybridMultilevel"/>
    <w:tmpl w:val="DFCA0634"/>
    <w:lvl w:ilvl="0" w:tplc="002045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7053F"/>
    <w:multiLevelType w:val="hybridMultilevel"/>
    <w:tmpl w:val="F9FCC14A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69574C"/>
    <w:multiLevelType w:val="hybridMultilevel"/>
    <w:tmpl w:val="858CD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D256A3"/>
    <w:multiLevelType w:val="hybridMultilevel"/>
    <w:tmpl w:val="01849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6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A8"/>
    <w:rsid w:val="00003005"/>
    <w:rsid w:val="00014750"/>
    <w:rsid w:val="0004054F"/>
    <w:rsid w:val="000460BA"/>
    <w:rsid w:val="0007296E"/>
    <w:rsid w:val="00081D3D"/>
    <w:rsid w:val="000B7BC2"/>
    <w:rsid w:val="000D1080"/>
    <w:rsid w:val="000D6A51"/>
    <w:rsid w:val="000E05C8"/>
    <w:rsid w:val="000E197E"/>
    <w:rsid w:val="000E7D6C"/>
    <w:rsid w:val="000F3624"/>
    <w:rsid w:val="000F468B"/>
    <w:rsid w:val="000F5683"/>
    <w:rsid w:val="001053F5"/>
    <w:rsid w:val="00184A4D"/>
    <w:rsid w:val="0019674A"/>
    <w:rsid w:val="00197E4D"/>
    <w:rsid w:val="001A6172"/>
    <w:rsid w:val="001B146B"/>
    <w:rsid w:val="001C304C"/>
    <w:rsid w:val="001E4EEB"/>
    <w:rsid w:val="001E56EE"/>
    <w:rsid w:val="001F585F"/>
    <w:rsid w:val="002146E8"/>
    <w:rsid w:val="002260E6"/>
    <w:rsid w:val="00266420"/>
    <w:rsid w:val="00276841"/>
    <w:rsid w:val="00281CA4"/>
    <w:rsid w:val="002A6A64"/>
    <w:rsid w:val="002D037F"/>
    <w:rsid w:val="002D62B3"/>
    <w:rsid w:val="003016F8"/>
    <w:rsid w:val="00310FD4"/>
    <w:rsid w:val="0034205C"/>
    <w:rsid w:val="003614A6"/>
    <w:rsid w:val="003778F1"/>
    <w:rsid w:val="003921CA"/>
    <w:rsid w:val="003A2F65"/>
    <w:rsid w:val="003F313D"/>
    <w:rsid w:val="00403738"/>
    <w:rsid w:val="00413E82"/>
    <w:rsid w:val="0045485A"/>
    <w:rsid w:val="00455C8D"/>
    <w:rsid w:val="004733B3"/>
    <w:rsid w:val="00481574"/>
    <w:rsid w:val="00496145"/>
    <w:rsid w:val="00552E64"/>
    <w:rsid w:val="005745A0"/>
    <w:rsid w:val="005951A6"/>
    <w:rsid w:val="005B3EEE"/>
    <w:rsid w:val="005E2069"/>
    <w:rsid w:val="005E302D"/>
    <w:rsid w:val="005F5F05"/>
    <w:rsid w:val="00610F15"/>
    <w:rsid w:val="006348C6"/>
    <w:rsid w:val="006419CB"/>
    <w:rsid w:val="00645C18"/>
    <w:rsid w:val="006C0869"/>
    <w:rsid w:val="006D4A98"/>
    <w:rsid w:val="00730EBF"/>
    <w:rsid w:val="00787285"/>
    <w:rsid w:val="00795F69"/>
    <w:rsid w:val="00834A73"/>
    <w:rsid w:val="00845745"/>
    <w:rsid w:val="008513C4"/>
    <w:rsid w:val="00871030"/>
    <w:rsid w:val="00876629"/>
    <w:rsid w:val="008819F0"/>
    <w:rsid w:val="008908C4"/>
    <w:rsid w:val="008C6775"/>
    <w:rsid w:val="008D1DB3"/>
    <w:rsid w:val="008E3EE5"/>
    <w:rsid w:val="00904C4D"/>
    <w:rsid w:val="00936D8F"/>
    <w:rsid w:val="00936F1A"/>
    <w:rsid w:val="009861E8"/>
    <w:rsid w:val="009A360B"/>
    <w:rsid w:val="009C0371"/>
    <w:rsid w:val="009C7D7B"/>
    <w:rsid w:val="009E0D42"/>
    <w:rsid w:val="00A20C2C"/>
    <w:rsid w:val="00A236EE"/>
    <w:rsid w:val="00A61ED9"/>
    <w:rsid w:val="00A9611B"/>
    <w:rsid w:val="00A96897"/>
    <w:rsid w:val="00AC66A0"/>
    <w:rsid w:val="00B00F0B"/>
    <w:rsid w:val="00B01FCB"/>
    <w:rsid w:val="00B25E7E"/>
    <w:rsid w:val="00B33D24"/>
    <w:rsid w:val="00B76CED"/>
    <w:rsid w:val="00BB1894"/>
    <w:rsid w:val="00BE76F2"/>
    <w:rsid w:val="00C01895"/>
    <w:rsid w:val="00C0236C"/>
    <w:rsid w:val="00C10D0B"/>
    <w:rsid w:val="00C1371E"/>
    <w:rsid w:val="00C231D0"/>
    <w:rsid w:val="00C27D94"/>
    <w:rsid w:val="00C54F9A"/>
    <w:rsid w:val="00C72396"/>
    <w:rsid w:val="00C951A6"/>
    <w:rsid w:val="00CC5AC9"/>
    <w:rsid w:val="00D10B79"/>
    <w:rsid w:val="00D80CAC"/>
    <w:rsid w:val="00D95DA8"/>
    <w:rsid w:val="00D97B72"/>
    <w:rsid w:val="00DB5FEC"/>
    <w:rsid w:val="00DC29B2"/>
    <w:rsid w:val="00DD1055"/>
    <w:rsid w:val="00E93D5D"/>
    <w:rsid w:val="00EA6641"/>
    <w:rsid w:val="00EC163B"/>
    <w:rsid w:val="00EC5905"/>
    <w:rsid w:val="00F05486"/>
    <w:rsid w:val="00F14484"/>
    <w:rsid w:val="00F2147E"/>
    <w:rsid w:val="00F41777"/>
    <w:rsid w:val="00F55D82"/>
    <w:rsid w:val="00F60FCC"/>
    <w:rsid w:val="00F6215B"/>
    <w:rsid w:val="00F7289B"/>
    <w:rsid w:val="00F9748D"/>
    <w:rsid w:val="00FD65BB"/>
    <w:rsid w:val="00F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F1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3016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1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1CA4"/>
  </w:style>
  <w:style w:type="paragraph" w:styleId="Footer">
    <w:name w:val="footer"/>
    <w:basedOn w:val="Normal"/>
    <w:link w:val="FooterChar"/>
    <w:uiPriority w:val="99"/>
    <w:rsid w:val="00281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1CA4"/>
  </w:style>
  <w:style w:type="paragraph" w:styleId="ListParagraph">
    <w:name w:val="List Paragraph"/>
    <w:basedOn w:val="Normal"/>
    <w:uiPriority w:val="34"/>
    <w:qFormat/>
    <w:rsid w:val="001E56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1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46E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01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B14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1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97E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97E"/>
    <w:rPr>
      <w:rFonts w:cs="Calibri"/>
      <w:b/>
      <w:bCs/>
      <w:sz w:val="20"/>
      <w:szCs w:val="20"/>
    </w:rPr>
  </w:style>
  <w:style w:type="table" w:styleId="TableGrid">
    <w:name w:val="Table Grid"/>
    <w:basedOn w:val="TableNormal"/>
    <w:locked/>
    <w:rsid w:val="005F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D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F1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3016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1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1CA4"/>
  </w:style>
  <w:style w:type="paragraph" w:styleId="Footer">
    <w:name w:val="footer"/>
    <w:basedOn w:val="Normal"/>
    <w:link w:val="FooterChar"/>
    <w:uiPriority w:val="99"/>
    <w:rsid w:val="00281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1CA4"/>
  </w:style>
  <w:style w:type="paragraph" w:styleId="ListParagraph">
    <w:name w:val="List Paragraph"/>
    <w:basedOn w:val="Normal"/>
    <w:uiPriority w:val="34"/>
    <w:qFormat/>
    <w:rsid w:val="001E56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1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46E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01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B14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1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97E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97E"/>
    <w:rPr>
      <w:rFonts w:cs="Calibri"/>
      <w:b/>
      <w:bCs/>
      <w:sz w:val="20"/>
      <w:szCs w:val="20"/>
    </w:rPr>
  </w:style>
  <w:style w:type="table" w:styleId="TableGrid">
    <w:name w:val="Table Grid"/>
    <w:basedOn w:val="TableNormal"/>
    <w:locked/>
    <w:rsid w:val="005F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entryrugbyccg.nhs.uk/About-Us/Publications-and-Policies/Polici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 PRIORITY TREATMENTS and PRIOR APPROVAL PROCESS</vt:lpstr>
    </vt:vector>
  </TitlesOfParts>
  <Company>NHS Coventry &amp; Coventry and Warwickshire PT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PRIORITY TREATMENTS and PRIOR APPROVAL PROCESS</dc:title>
  <dc:creator>SWCAMPCL</dc:creator>
  <cp:lastModifiedBy>Holland Kay (05A) NHS Coventry &amp; Rugby CCG</cp:lastModifiedBy>
  <cp:revision>2</cp:revision>
  <dcterms:created xsi:type="dcterms:W3CDTF">2016-08-11T15:29:00Z</dcterms:created>
  <dcterms:modified xsi:type="dcterms:W3CDTF">2016-08-11T15:29:00Z</dcterms:modified>
</cp:coreProperties>
</file>