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0D" w:rsidRDefault="000E190D" w:rsidP="00FC57F3">
      <w:pPr>
        <w:spacing w:line="240" w:lineRule="auto"/>
        <w:rPr>
          <w:rFonts w:ascii="Arial" w:hAnsi="Arial" w:cs="Arial"/>
        </w:rPr>
      </w:pPr>
    </w:p>
    <w:p w:rsidR="00977D6F" w:rsidRDefault="00FD4B1D" w:rsidP="00FD4B1D">
      <w:pPr>
        <w:spacing w:line="240" w:lineRule="auto"/>
        <w:rPr>
          <w:rFonts w:ascii="Arial" w:hAnsi="Arial" w:cs="Arial"/>
          <w:b/>
          <w:sz w:val="36"/>
          <w:szCs w:val="36"/>
        </w:rPr>
      </w:pPr>
      <w:r w:rsidRPr="00FD4B1D">
        <w:rPr>
          <w:rFonts w:ascii="Arial" w:hAnsi="Arial" w:cs="Arial"/>
          <w:b/>
          <w:sz w:val="36"/>
          <w:szCs w:val="36"/>
        </w:rPr>
        <w:t>Continence</w:t>
      </w:r>
      <w:r w:rsidR="00D74D17">
        <w:rPr>
          <w:rFonts w:ascii="Arial" w:hAnsi="Arial" w:cs="Arial"/>
          <w:b/>
          <w:sz w:val="36"/>
          <w:szCs w:val="36"/>
        </w:rPr>
        <w:t xml:space="preserve"> Services</w:t>
      </w:r>
    </w:p>
    <w:p w:rsidR="00D74D17" w:rsidRDefault="00D74D17" w:rsidP="00FD4B1D">
      <w:pPr>
        <w:spacing w:line="240" w:lineRule="auto"/>
        <w:rPr>
          <w:rFonts w:ascii="Arial" w:hAnsi="Arial" w:cs="Arial"/>
          <w:b/>
          <w:sz w:val="36"/>
          <w:szCs w:val="36"/>
        </w:rPr>
      </w:pPr>
    </w:p>
    <w:p w:rsidR="000E190D" w:rsidRPr="00D74D17" w:rsidRDefault="00F22E65" w:rsidP="00FD4B1D">
      <w:pPr>
        <w:spacing w:line="240" w:lineRule="auto"/>
        <w:rPr>
          <w:rFonts w:ascii="Arial" w:hAnsi="Arial" w:cs="Arial"/>
          <w:b/>
        </w:rPr>
      </w:pPr>
      <w:r>
        <w:rPr>
          <w:rFonts w:ascii="Arial" w:hAnsi="Arial" w:cs="Arial"/>
          <w:b/>
        </w:rPr>
        <w:t>Overview</w:t>
      </w:r>
    </w:p>
    <w:p w:rsidR="00FD4B1D" w:rsidRDefault="00D74D17" w:rsidP="00FD4B1D">
      <w:pPr>
        <w:spacing w:line="240" w:lineRule="auto"/>
        <w:rPr>
          <w:rFonts w:ascii="Arial" w:hAnsi="Arial" w:cs="Arial"/>
        </w:rPr>
      </w:pPr>
      <w:r>
        <w:rPr>
          <w:rFonts w:ascii="Arial" w:hAnsi="Arial" w:cs="Arial"/>
        </w:rPr>
        <w:t>The continence advisory s</w:t>
      </w:r>
      <w:r w:rsidR="003261A7" w:rsidRPr="003261A7">
        <w:rPr>
          <w:rFonts w:ascii="Arial" w:hAnsi="Arial" w:cs="Arial"/>
        </w:rPr>
        <w:t xml:space="preserve">ervice operates an open referral system for advice and treatment </w:t>
      </w:r>
      <w:r w:rsidR="00F61146">
        <w:rPr>
          <w:rFonts w:ascii="Arial" w:hAnsi="Arial" w:cs="Arial"/>
        </w:rPr>
        <w:t xml:space="preserve">where the overall aim is to promote continence wherever possible, and to provide dignified alternatives using products or appliances wherever it is not. </w:t>
      </w:r>
    </w:p>
    <w:p w:rsidR="00F61146" w:rsidRDefault="00F61146" w:rsidP="00D74D17">
      <w:pPr>
        <w:spacing w:line="240" w:lineRule="auto"/>
        <w:rPr>
          <w:rFonts w:ascii="Arial" w:hAnsi="Arial" w:cs="Arial"/>
        </w:rPr>
      </w:pPr>
      <w:r w:rsidRPr="00F61146">
        <w:rPr>
          <w:rFonts w:ascii="Arial" w:hAnsi="Arial" w:cs="Arial"/>
        </w:rPr>
        <w:t xml:space="preserve">The specialist </w:t>
      </w:r>
      <w:r w:rsidR="00D74D17">
        <w:rPr>
          <w:rFonts w:ascii="Arial" w:hAnsi="Arial" w:cs="Arial"/>
        </w:rPr>
        <w:t>continence service consists of three</w:t>
      </w:r>
      <w:r w:rsidRPr="00F61146">
        <w:rPr>
          <w:rFonts w:ascii="Arial" w:hAnsi="Arial" w:cs="Arial"/>
        </w:rPr>
        <w:t xml:space="preserve"> teams </w:t>
      </w:r>
      <w:r w:rsidR="00D74D17">
        <w:rPr>
          <w:rFonts w:ascii="Arial" w:hAnsi="Arial" w:cs="Arial"/>
        </w:rPr>
        <w:t xml:space="preserve">across Warwickshire and one of these teams is based in Rugby. </w:t>
      </w:r>
    </w:p>
    <w:p w:rsidR="003261A7" w:rsidRDefault="003261A7" w:rsidP="00FD4B1D">
      <w:pPr>
        <w:spacing w:line="240" w:lineRule="auto"/>
        <w:rPr>
          <w:rFonts w:ascii="Arial" w:hAnsi="Arial" w:cs="Arial"/>
        </w:rPr>
      </w:pPr>
      <w:r>
        <w:rPr>
          <w:rFonts w:ascii="Arial" w:hAnsi="Arial" w:cs="Arial"/>
        </w:rPr>
        <w:t>We provide a variety of services to those experiencing bladder and bowel disorders, including:</w:t>
      </w:r>
    </w:p>
    <w:p w:rsidR="003261A7" w:rsidRDefault="003261A7" w:rsidP="003261A7">
      <w:pPr>
        <w:pStyle w:val="ListParagraph"/>
        <w:numPr>
          <w:ilvl w:val="0"/>
          <w:numId w:val="7"/>
        </w:numPr>
        <w:spacing w:line="240" w:lineRule="auto"/>
        <w:rPr>
          <w:rFonts w:ascii="Arial" w:hAnsi="Arial" w:cs="Arial"/>
        </w:rPr>
      </w:pPr>
      <w:r>
        <w:rPr>
          <w:rFonts w:ascii="Arial" w:hAnsi="Arial" w:cs="Arial"/>
        </w:rPr>
        <w:t>Specialist nurse lead continence clinics in various locations throughout Warwickshire.</w:t>
      </w:r>
    </w:p>
    <w:p w:rsidR="003261A7" w:rsidRDefault="003261A7" w:rsidP="003261A7">
      <w:pPr>
        <w:pStyle w:val="ListParagraph"/>
        <w:numPr>
          <w:ilvl w:val="0"/>
          <w:numId w:val="7"/>
        </w:numPr>
        <w:spacing w:line="240" w:lineRule="auto"/>
        <w:rPr>
          <w:rFonts w:ascii="Arial" w:hAnsi="Arial" w:cs="Arial"/>
        </w:rPr>
      </w:pPr>
      <w:r>
        <w:rPr>
          <w:rFonts w:ascii="Arial" w:hAnsi="Arial" w:cs="Arial"/>
        </w:rPr>
        <w:t>Home visits for patients not able to attend their local clinic.</w:t>
      </w:r>
    </w:p>
    <w:p w:rsidR="003261A7" w:rsidRPr="003261A7" w:rsidRDefault="003261A7" w:rsidP="003261A7">
      <w:pPr>
        <w:pStyle w:val="ListParagraph"/>
        <w:numPr>
          <w:ilvl w:val="0"/>
          <w:numId w:val="7"/>
        </w:numPr>
        <w:spacing w:line="240" w:lineRule="auto"/>
        <w:rPr>
          <w:rFonts w:ascii="Arial" w:hAnsi="Arial" w:cs="Arial"/>
        </w:rPr>
      </w:pPr>
      <w:r>
        <w:rPr>
          <w:rFonts w:ascii="Arial" w:hAnsi="Arial" w:cs="Arial"/>
        </w:rPr>
        <w:t>Disposable continence products from the age of 4 years.</w:t>
      </w:r>
    </w:p>
    <w:p w:rsidR="000E190D" w:rsidRPr="000E190D" w:rsidRDefault="00F61146" w:rsidP="00F61146">
      <w:pPr>
        <w:spacing w:line="240" w:lineRule="auto"/>
        <w:rPr>
          <w:rFonts w:ascii="Arial" w:hAnsi="Arial" w:cs="Arial"/>
          <w:szCs w:val="24"/>
        </w:rPr>
      </w:pPr>
      <w:r w:rsidRPr="00F61146">
        <w:rPr>
          <w:rFonts w:ascii="Arial" w:hAnsi="Arial" w:cs="Arial"/>
          <w:szCs w:val="24"/>
        </w:rPr>
        <w:t>The teams assess patients in the most clinically appropriate setting for the patients' needs</w:t>
      </w:r>
      <w:r w:rsidR="00D74D17">
        <w:rPr>
          <w:rFonts w:ascii="Arial" w:hAnsi="Arial" w:cs="Arial"/>
          <w:szCs w:val="24"/>
        </w:rPr>
        <w:t>. C</w:t>
      </w:r>
      <w:r w:rsidRPr="00F61146">
        <w:rPr>
          <w:rFonts w:ascii="Arial" w:hAnsi="Arial" w:cs="Arial"/>
          <w:szCs w:val="24"/>
        </w:rPr>
        <w:t xml:space="preserve">linic visits are encouraged in order to achieve the best clinical outcomes. Programmes of care are developed with patients to regain/ promote continence optimising the best possible solutions for patients in order to improve quality of life. The team provide compassionate care and aim to restore any dignity which may have been compromised during this distressing time by empowering the patients </w:t>
      </w:r>
      <w:r w:rsidR="00D74D17">
        <w:rPr>
          <w:rFonts w:ascii="Arial" w:hAnsi="Arial" w:cs="Arial"/>
          <w:szCs w:val="24"/>
        </w:rPr>
        <w:t>through</w:t>
      </w:r>
      <w:r w:rsidRPr="00F61146">
        <w:rPr>
          <w:rFonts w:ascii="Arial" w:hAnsi="Arial" w:cs="Arial"/>
          <w:szCs w:val="24"/>
        </w:rPr>
        <w:t xml:space="preserve"> education, advice, medication or appliances which assist them in regaining continence. </w:t>
      </w:r>
    </w:p>
    <w:p w:rsidR="00F61146" w:rsidRPr="003261A7" w:rsidRDefault="00F61146" w:rsidP="00F61146">
      <w:pPr>
        <w:spacing w:line="240" w:lineRule="auto"/>
        <w:rPr>
          <w:rFonts w:ascii="Arial" w:hAnsi="Arial" w:cs="Arial"/>
        </w:rPr>
      </w:pPr>
      <w:r w:rsidRPr="003261A7">
        <w:rPr>
          <w:rFonts w:ascii="Arial" w:hAnsi="Arial" w:cs="Arial"/>
        </w:rPr>
        <w:t xml:space="preserve">We </w:t>
      </w:r>
      <w:r>
        <w:rPr>
          <w:rFonts w:ascii="Arial" w:hAnsi="Arial" w:cs="Arial"/>
        </w:rPr>
        <w:t xml:space="preserve">also </w:t>
      </w:r>
      <w:r w:rsidRPr="003261A7">
        <w:rPr>
          <w:rFonts w:ascii="Arial" w:hAnsi="Arial" w:cs="Arial"/>
        </w:rPr>
        <w:t>offer specialised continence based training for community nurses, community hospital staff, local residential/nursing homes and homecare agencies.</w:t>
      </w:r>
    </w:p>
    <w:p w:rsidR="00F61146" w:rsidRPr="00F61146" w:rsidRDefault="00F61146" w:rsidP="00F61146">
      <w:pPr>
        <w:spacing w:line="240" w:lineRule="auto"/>
        <w:rPr>
          <w:rFonts w:ascii="Arial" w:hAnsi="Arial" w:cs="Arial"/>
          <w:szCs w:val="24"/>
        </w:rPr>
      </w:pPr>
    </w:p>
    <w:p w:rsidR="00F61146" w:rsidRPr="00D74D17" w:rsidRDefault="00F22E65" w:rsidP="00F61146">
      <w:pPr>
        <w:spacing w:line="240" w:lineRule="auto"/>
        <w:rPr>
          <w:rFonts w:ascii="Arial" w:hAnsi="Arial" w:cs="Arial"/>
          <w:b/>
          <w:szCs w:val="24"/>
        </w:rPr>
      </w:pPr>
      <w:r>
        <w:rPr>
          <w:rFonts w:ascii="Arial" w:hAnsi="Arial" w:cs="Arial"/>
          <w:b/>
          <w:szCs w:val="24"/>
        </w:rPr>
        <w:t>Referral Criteria</w:t>
      </w:r>
    </w:p>
    <w:p w:rsidR="00F61146" w:rsidRPr="00F61146" w:rsidRDefault="00F61146" w:rsidP="00F61146">
      <w:pPr>
        <w:spacing w:line="240" w:lineRule="auto"/>
        <w:rPr>
          <w:rFonts w:ascii="Arial" w:hAnsi="Arial" w:cs="Arial"/>
          <w:szCs w:val="24"/>
        </w:rPr>
      </w:pPr>
      <w:r w:rsidRPr="00F61146">
        <w:rPr>
          <w:rFonts w:ascii="Arial" w:hAnsi="Arial" w:cs="Arial"/>
          <w:szCs w:val="24"/>
        </w:rPr>
        <w:t>The exclusion criteria would be:</w:t>
      </w:r>
    </w:p>
    <w:p w:rsidR="00F61146" w:rsidRPr="00F61146" w:rsidRDefault="00F61146" w:rsidP="00F61146">
      <w:pPr>
        <w:spacing w:line="240" w:lineRule="auto"/>
        <w:rPr>
          <w:rFonts w:ascii="Arial" w:hAnsi="Arial" w:cs="Arial"/>
          <w:szCs w:val="24"/>
        </w:rPr>
      </w:pPr>
      <w:r w:rsidRPr="00F61146">
        <w:rPr>
          <w:rFonts w:ascii="Arial" w:hAnsi="Arial" w:cs="Arial"/>
          <w:szCs w:val="24"/>
        </w:rPr>
        <w:t>Female</w:t>
      </w:r>
      <w:r>
        <w:rPr>
          <w:rFonts w:ascii="Arial" w:hAnsi="Arial" w:cs="Arial"/>
          <w:szCs w:val="24"/>
        </w:rPr>
        <w:t>:</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Failed previous gynaecological surgery</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Symptoms of obstructive outflow</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Unexplained vaginal bleeding</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 xml:space="preserve">Haematuria </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Abdominal mass</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Prolapse</w:t>
      </w:r>
    </w:p>
    <w:p w:rsidR="00F61146" w:rsidRPr="00F61146" w:rsidRDefault="00F61146" w:rsidP="00F61146">
      <w:pPr>
        <w:pStyle w:val="ListParagraph"/>
        <w:numPr>
          <w:ilvl w:val="0"/>
          <w:numId w:val="14"/>
        </w:numPr>
        <w:spacing w:line="240" w:lineRule="auto"/>
        <w:rPr>
          <w:rFonts w:ascii="Arial" w:hAnsi="Arial" w:cs="Arial"/>
          <w:szCs w:val="24"/>
        </w:rPr>
      </w:pPr>
      <w:r w:rsidRPr="00F61146">
        <w:rPr>
          <w:rFonts w:ascii="Arial" w:hAnsi="Arial" w:cs="Arial"/>
          <w:szCs w:val="24"/>
        </w:rPr>
        <w:t>Voiding difficulties</w:t>
      </w:r>
    </w:p>
    <w:p w:rsidR="00F61146" w:rsidRPr="00F61146" w:rsidRDefault="00F61146" w:rsidP="00F61146">
      <w:pPr>
        <w:spacing w:line="240" w:lineRule="auto"/>
        <w:rPr>
          <w:rFonts w:ascii="Arial" w:hAnsi="Arial" w:cs="Arial"/>
          <w:szCs w:val="24"/>
        </w:rPr>
      </w:pPr>
      <w:r w:rsidRPr="00F61146">
        <w:rPr>
          <w:rFonts w:ascii="Arial" w:hAnsi="Arial" w:cs="Arial"/>
          <w:szCs w:val="24"/>
        </w:rPr>
        <w:t>Male</w:t>
      </w:r>
      <w:r>
        <w:rPr>
          <w:rFonts w:ascii="Arial" w:hAnsi="Arial" w:cs="Arial"/>
          <w:szCs w:val="24"/>
        </w:rPr>
        <w:t>:</w:t>
      </w:r>
    </w:p>
    <w:p w:rsidR="00F61146" w:rsidRPr="00F61146" w:rsidRDefault="00F61146" w:rsidP="00F61146">
      <w:pPr>
        <w:pStyle w:val="ListParagraph"/>
        <w:numPr>
          <w:ilvl w:val="0"/>
          <w:numId w:val="15"/>
        </w:numPr>
        <w:spacing w:line="240" w:lineRule="auto"/>
        <w:rPr>
          <w:rFonts w:ascii="Arial" w:hAnsi="Arial" w:cs="Arial"/>
          <w:szCs w:val="24"/>
        </w:rPr>
      </w:pPr>
      <w:r w:rsidRPr="00F61146">
        <w:rPr>
          <w:rFonts w:ascii="Arial" w:hAnsi="Arial" w:cs="Arial"/>
          <w:szCs w:val="24"/>
        </w:rPr>
        <w:t>Raised Prostate Specific Antigen (PSA) in line with the patients age group</w:t>
      </w:r>
    </w:p>
    <w:p w:rsidR="00F61146" w:rsidRPr="00F61146" w:rsidRDefault="00F61146" w:rsidP="00F61146">
      <w:pPr>
        <w:pStyle w:val="ListParagraph"/>
        <w:numPr>
          <w:ilvl w:val="0"/>
          <w:numId w:val="15"/>
        </w:numPr>
        <w:spacing w:line="240" w:lineRule="auto"/>
        <w:rPr>
          <w:rFonts w:ascii="Arial" w:hAnsi="Arial" w:cs="Arial"/>
          <w:szCs w:val="24"/>
        </w:rPr>
      </w:pPr>
      <w:r w:rsidRPr="00F61146">
        <w:rPr>
          <w:rFonts w:ascii="Arial" w:hAnsi="Arial" w:cs="Arial"/>
          <w:szCs w:val="24"/>
        </w:rPr>
        <w:t xml:space="preserve">Haematuria </w:t>
      </w:r>
    </w:p>
    <w:p w:rsidR="00F61146" w:rsidRPr="00F61146" w:rsidRDefault="00F61146" w:rsidP="00F61146">
      <w:pPr>
        <w:pStyle w:val="ListParagraph"/>
        <w:numPr>
          <w:ilvl w:val="0"/>
          <w:numId w:val="15"/>
        </w:numPr>
        <w:spacing w:line="240" w:lineRule="auto"/>
        <w:rPr>
          <w:rFonts w:ascii="Arial" w:hAnsi="Arial" w:cs="Arial"/>
          <w:szCs w:val="24"/>
        </w:rPr>
      </w:pPr>
      <w:r w:rsidRPr="00F61146">
        <w:rPr>
          <w:rFonts w:ascii="Arial" w:hAnsi="Arial" w:cs="Arial"/>
          <w:szCs w:val="24"/>
        </w:rPr>
        <w:t>Abdominal mass</w:t>
      </w:r>
    </w:p>
    <w:p w:rsidR="00F61146" w:rsidRPr="00F61146" w:rsidRDefault="00F61146" w:rsidP="00F61146">
      <w:pPr>
        <w:pStyle w:val="ListParagraph"/>
        <w:numPr>
          <w:ilvl w:val="0"/>
          <w:numId w:val="15"/>
        </w:numPr>
        <w:spacing w:line="240" w:lineRule="auto"/>
        <w:rPr>
          <w:rFonts w:ascii="Arial" w:hAnsi="Arial" w:cs="Arial"/>
          <w:szCs w:val="24"/>
        </w:rPr>
      </w:pPr>
      <w:r w:rsidRPr="00F61146">
        <w:rPr>
          <w:rFonts w:ascii="Arial" w:hAnsi="Arial" w:cs="Arial"/>
          <w:szCs w:val="24"/>
        </w:rPr>
        <w:lastRenderedPageBreak/>
        <w:t>Voiding difficulties</w:t>
      </w:r>
    </w:p>
    <w:p w:rsidR="00F61146" w:rsidRPr="00F61146" w:rsidRDefault="00F61146" w:rsidP="00F61146">
      <w:pPr>
        <w:spacing w:line="240" w:lineRule="auto"/>
        <w:rPr>
          <w:rFonts w:ascii="Arial" w:hAnsi="Arial" w:cs="Arial"/>
          <w:szCs w:val="24"/>
        </w:rPr>
      </w:pPr>
      <w:r w:rsidRPr="00F61146">
        <w:rPr>
          <w:rFonts w:ascii="Arial" w:hAnsi="Arial" w:cs="Arial"/>
          <w:szCs w:val="24"/>
        </w:rPr>
        <w:t>Whilst there are patients in the exclusion criteria the service will be happy to see and support the patients as long as they have either been seen and investigated or whilst they are awaiting an appointment for secondary care</w:t>
      </w:r>
      <w:r>
        <w:rPr>
          <w:rFonts w:ascii="Arial" w:hAnsi="Arial" w:cs="Arial"/>
          <w:szCs w:val="24"/>
        </w:rPr>
        <w:t>.</w:t>
      </w:r>
    </w:p>
    <w:p w:rsidR="00F61146" w:rsidRPr="00F61146" w:rsidRDefault="00D74D17" w:rsidP="00F61146">
      <w:pPr>
        <w:spacing w:line="240" w:lineRule="auto"/>
        <w:rPr>
          <w:rFonts w:ascii="Arial" w:hAnsi="Arial" w:cs="Arial"/>
          <w:szCs w:val="24"/>
        </w:rPr>
      </w:pPr>
      <w:r>
        <w:rPr>
          <w:rFonts w:ascii="Arial" w:hAnsi="Arial" w:cs="Arial"/>
          <w:szCs w:val="24"/>
        </w:rPr>
        <w:t>Patients with Bowel problems</w:t>
      </w:r>
      <w:r w:rsidR="00F61146">
        <w:rPr>
          <w:rFonts w:ascii="Arial" w:hAnsi="Arial" w:cs="Arial"/>
          <w:szCs w:val="24"/>
        </w:rPr>
        <w:t>:</w:t>
      </w:r>
    </w:p>
    <w:p w:rsidR="00F61146" w:rsidRPr="000E190D" w:rsidRDefault="00F61146" w:rsidP="000E190D">
      <w:pPr>
        <w:pStyle w:val="ListParagraph"/>
        <w:numPr>
          <w:ilvl w:val="0"/>
          <w:numId w:val="21"/>
        </w:numPr>
        <w:spacing w:line="240" w:lineRule="auto"/>
        <w:rPr>
          <w:rFonts w:ascii="Arial" w:hAnsi="Arial" w:cs="Arial"/>
          <w:szCs w:val="24"/>
        </w:rPr>
      </w:pPr>
      <w:r w:rsidRPr="000E190D">
        <w:rPr>
          <w:rFonts w:ascii="Arial" w:hAnsi="Arial" w:cs="Arial"/>
          <w:szCs w:val="24"/>
        </w:rPr>
        <w:t>As above these patients are also welcome to be referred as long as complex bowel disorders such as inflammatory bowel disorders and malignancy have been excluded. Or to support the patients where such diagnosis has been made</w:t>
      </w:r>
    </w:p>
    <w:p w:rsidR="00F61146" w:rsidRPr="00F61146" w:rsidRDefault="00F61146" w:rsidP="00F61146">
      <w:pPr>
        <w:spacing w:line="240" w:lineRule="auto"/>
        <w:rPr>
          <w:rFonts w:ascii="Arial" w:hAnsi="Arial" w:cs="Arial"/>
          <w:sz w:val="24"/>
          <w:szCs w:val="24"/>
        </w:rPr>
      </w:pPr>
    </w:p>
    <w:p w:rsidR="000E190D" w:rsidRPr="00F61146" w:rsidRDefault="00F22E65" w:rsidP="00F61146">
      <w:pPr>
        <w:spacing w:line="240" w:lineRule="auto"/>
        <w:rPr>
          <w:rFonts w:ascii="Arial" w:hAnsi="Arial" w:cs="Arial"/>
          <w:b/>
          <w:szCs w:val="24"/>
        </w:rPr>
      </w:pPr>
      <w:r>
        <w:rPr>
          <w:rFonts w:ascii="Arial" w:hAnsi="Arial" w:cs="Arial"/>
          <w:b/>
          <w:szCs w:val="24"/>
        </w:rPr>
        <w:t>Referral Process and Documentation</w:t>
      </w:r>
    </w:p>
    <w:p w:rsidR="00F22E65" w:rsidRPr="00F22E65" w:rsidRDefault="00F61146" w:rsidP="00F61146">
      <w:pPr>
        <w:spacing w:line="240" w:lineRule="auto"/>
        <w:rPr>
          <w:rFonts w:ascii="Arial" w:hAnsi="Arial" w:cs="Arial"/>
          <w:szCs w:val="24"/>
        </w:rPr>
      </w:pPr>
      <w:r w:rsidRPr="00F61146">
        <w:rPr>
          <w:rFonts w:ascii="Arial" w:hAnsi="Arial" w:cs="Arial"/>
          <w:szCs w:val="24"/>
        </w:rPr>
        <w:t>GP</w:t>
      </w:r>
      <w:r w:rsidR="00D74D17">
        <w:rPr>
          <w:rFonts w:ascii="Arial" w:hAnsi="Arial" w:cs="Arial"/>
          <w:szCs w:val="24"/>
        </w:rPr>
        <w:t>s</w:t>
      </w:r>
      <w:r w:rsidRPr="00F61146">
        <w:rPr>
          <w:rFonts w:ascii="Arial" w:hAnsi="Arial" w:cs="Arial"/>
          <w:szCs w:val="24"/>
        </w:rPr>
        <w:t xml:space="preserve"> can </w:t>
      </w:r>
      <w:r w:rsidR="00D74D17">
        <w:rPr>
          <w:rFonts w:ascii="Arial" w:hAnsi="Arial" w:cs="Arial"/>
          <w:szCs w:val="24"/>
        </w:rPr>
        <w:t>contact the team on</w:t>
      </w:r>
      <w:r w:rsidRPr="00F61146">
        <w:rPr>
          <w:rFonts w:ascii="Arial" w:hAnsi="Arial" w:cs="Arial"/>
          <w:szCs w:val="24"/>
        </w:rPr>
        <w:t xml:space="preserve"> 01788 555105 or fax the referral form to 01788 55104</w:t>
      </w:r>
    </w:p>
    <w:p w:rsidR="00F61146" w:rsidRPr="00F61146" w:rsidRDefault="00F61146" w:rsidP="00F61146">
      <w:pPr>
        <w:pStyle w:val="ListParagraph"/>
        <w:numPr>
          <w:ilvl w:val="0"/>
          <w:numId w:val="16"/>
        </w:numPr>
        <w:spacing w:line="240" w:lineRule="auto"/>
        <w:rPr>
          <w:rFonts w:ascii="Arial" w:hAnsi="Arial" w:cs="Arial"/>
          <w:szCs w:val="24"/>
        </w:rPr>
      </w:pPr>
      <w:r w:rsidRPr="00F61146">
        <w:rPr>
          <w:rFonts w:ascii="Arial" w:hAnsi="Arial" w:cs="Arial"/>
          <w:szCs w:val="24"/>
        </w:rPr>
        <w:t xml:space="preserve">Urgent visits can be scheduled and prioritised where required. </w:t>
      </w:r>
    </w:p>
    <w:p w:rsidR="00F61146" w:rsidRPr="00F61146" w:rsidRDefault="00F61146" w:rsidP="00F61146">
      <w:pPr>
        <w:pStyle w:val="ListParagraph"/>
        <w:numPr>
          <w:ilvl w:val="0"/>
          <w:numId w:val="16"/>
        </w:numPr>
        <w:spacing w:line="240" w:lineRule="auto"/>
        <w:rPr>
          <w:rFonts w:ascii="Arial" w:hAnsi="Arial" w:cs="Arial"/>
          <w:szCs w:val="24"/>
        </w:rPr>
      </w:pPr>
      <w:r w:rsidRPr="00F61146">
        <w:rPr>
          <w:rFonts w:ascii="Arial" w:hAnsi="Arial" w:cs="Arial"/>
          <w:szCs w:val="24"/>
        </w:rPr>
        <w:t xml:space="preserve">Patients are seen at the Orchard Centre clinic where possible however a home visit can be offered where clinically appropriate. </w:t>
      </w: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p>
    <w:p w:rsidR="000E190D" w:rsidRDefault="000E190D" w:rsidP="00A74BA3">
      <w:pPr>
        <w:spacing w:line="240" w:lineRule="auto"/>
        <w:rPr>
          <w:rFonts w:ascii="Arial" w:hAnsi="Arial" w:cs="Arial"/>
          <w:szCs w:val="24"/>
        </w:rPr>
      </w:pPr>
      <w:bookmarkStart w:id="0" w:name="_GoBack"/>
      <w:bookmarkEnd w:id="0"/>
    </w:p>
    <w:sectPr w:rsidR="000E190D" w:rsidSect="000E190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0D" w:rsidRDefault="000E190D" w:rsidP="000E190D">
      <w:pPr>
        <w:spacing w:after="0" w:line="240" w:lineRule="auto"/>
      </w:pPr>
      <w:r>
        <w:separator/>
      </w:r>
    </w:p>
  </w:endnote>
  <w:endnote w:type="continuationSeparator" w:id="0">
    <w:p w:rsidR="000E190D" w:rsidRDefault="000E190D" w:rsidP="000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0D" w:rsidRDefault="000E190D" w:rsidP="000E190D">
      <w:pPr>
        <w:spacing w:after="0" w:line="240" w:lineRule="auto"/>
      </w:pPr>
      <w:r>
        <w:separator/>
      </w:r>
    </w:p>
  </w:footnote>
  <w:footnote w:type="continuationSeparator" w:id="0">
    <w:p w:rsidR="000E190D" w:rsidRDefault="000E190D" w:rsidP="000E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0D" w:rsidRDefault="000E190D" w:rsidP="000E190D">
    <w:pPr>
      <w:pStyle w:val="Header"/>
      <w:tabs>
        <w:tab w:val="clear" w:pos="4513"/>
      </w:tabs>
    </w:pPr>
    <w:r>
      <w:rPr>
        <w:rFonts w:ascii="Calibri" w:hAnsi="Calibri"/>
        <w:noProof/>
        <w:lang w:eastAsia="en-GB"/>
      </w:rPr>
      <w:drawing>
        <wp:anchor distT="0" distB="0" distL="114300" distR="114300" simplePos="0" relativeHeight="251659264" behindDoc="1" locked="0" layoutInCell="1" allowOverlap="1" wp14:anchorId="48F7A61E" wp14:editId="5FACAB02">
          <wp:simplePos x="0" y="0"/>
          <wp:positionH relativeFrom="column">
            <wp:posOffset>3867150</wp:posOffset>
          </wp:positionH>
          <wp:positionV relativeFrom="paragraph">
            <wp:posOffset>-220980</wp:posOffset>
          </wp:positionV>
          <wp:extent cx="3028950" cy="469265"/>
          <wp:effectExtent l="0" t="0" r="0" b="6985"/>
          <wp:wrapTight wrapText="bothSides">
            <wp:wrapPolygon edited="0">
              <wp:start x="0" y="0"/>
              <wp:lineTo x="0" y="21045"/>
              <wp:lineTo x="21464" y="21045"/>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89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E190D" w:rsidRDefault="000E1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014"/>
    <w:multiLevelType w:val="hybridMultilevel"/>
    <w:tmpl w:val="D89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D0699"/>
    <w:multiLevelType w:val="hybridMultilevel"/>
    <w:tmpl w:val="347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50BCD"/>
    <w:multiLevelType w:val="hybridMultilevel"/>
    <w:tmpl w:val="99B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D2124"/>
    <w:multiLevelType w:val="hybridMultilevel"/>
    <w:tmpl w:val="4538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A7E44"/>
    <w:multiLevelType w:val="hybridMultilevel"/>
    <w:tmpl w:val="2DB2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F5F9E"/>
    <w:multiLevelType w:val="hybridMultilevel"/>
    <w:tmpl w:val="CCE05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8B5821"/>
    <w:multiLevelType w:val="hybridMultilevel"/>
    <w:tmpl w:val="5868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9F7E5A"/>
    <w:multiLevelType w:val="hybridMultilevel"/>
    <w:tmpl w:val="E77E5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7969E7"/>
    <w:multiLevelType w:val="hybridMultilevel"/>
    <w:tmpl w:val="F1C23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A21419"/>
    <w:multiLevelType w:val="hybridMultilevel"/>
    <w:tmpl w:val="DAF0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353B57"/>
    <w:multiLevelType w:val="hybridMultilevel"/>
    <w:tmpl w:val="CC7AF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D07347"/>
    <w:multiLevelType w:val="hybridMultilevel"/>
    <w:tmpl w:val="BF7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700699"/>
    <w:multiLevelType w:val="hybridMultilevel"/>
    <w:tmpl w:val="17FA3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2D4481"/>
    <w:multiLevelType w:val="hybridMultilevel"/>
    <w:tmpl w:val="AA0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1734C8"/>
    <w:multiLevelType w:val="hybridMultilevel"/>
    <w:tmpl w:val="2C2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8041B3"/>
    <w:multiLevelType w:val="hybridMultilevel"/>
    <w:tmpl w:val="1986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222016"/>
    <w:multiLevelType w:val="hybridMultilevel"/>
    <w:tmpl w:val="67B6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494FE8"/>
    <w:multiLevelType w:val="hybridMultilevel"/>
    <w:tmpl w:val="391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EC5404"/>
    <w:multiLevelType w:val="hybridMultilevel"/>
    <w:tmpl w:val="605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6555B"/>
    <w:multiLevelType w:val="hybridMultilevel"/>
    <w:tmpl w:val="96A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B87F3C"/>
    <w:multiLevelType w:val="hybridMultilevel"/>
    <w:tmpl w:val="E1A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F5694"/>
    <w:multiLevelType w:val="hybridMultilevel"/>
    <w:tmpl w:val="5E9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7"/>
  </w:num>
  <w:num w:numId="4">
    <w:abstractNumId w:val="19"/>
  </w:num>
  <w:num w:numId="5">
    <w:abstractNumId w:val="5"/>
  </w:num>
  <w:num w:numId="6">
    <w:abstractNumId w:val="9"/>
  </w:num>
  <w:num w:numId="7">
    <w:abstractNumId w:val="21"/>
  </w:num>
  <w:num w:numId="8">
    <w:abstractNumId w:val="12"/>
  </w:num>
  <w:num w:numId="9">
    <w:abstractNumId w:val="13"/>
  </w:num>
  <w:num w:numId="10">
    <w:abstractNumId w:val="0"/>
  </w:num>
  <w:num w:numId="11">
    <w:abstractNumId w:val="15"/>
  </w:num>
  <w:num w:numId="12">
    <w:abstractNumId w:val="8"/>
  </w:num>
  <w:num w:numId="13">
    <w:abstractNumId w:val="18"/>
  </w:num>
  <w:num w:numId="14">
    <w:abstractNumId w:val="3"/>
  </w:num>
  <w:num w:numId="15">
    <w:abstractNumId w:val="16"/>
  </w:num>
  <w:num w:numId="16">
    <w:abstractNumId w:val="11"/>
  </w:num>
  <w:num w:numId="17">
    <w:abstractNumId w:val="7"/>
  </w:num>
  <w:num w:numId="18">
    <w:abstractNumId w:val="10"/>
  </w:num>
  <w:num w:numId="19">
    <w:abstractNumId w:val="14"/>
  </w:num>
  <w:num w:numId="20">
    <w:abstractNumId w:val="6"/>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F3"/>
    <w:rsid w:val="00024AB1"/>
    <w:rsid w:val="00070190"/>
    <w:rsid w:val="000E163D"/>
    <w:rsid w:val="000E190D"/>
    <w:rsid w:val="001326A7"/>
    <w:rsid w:val="002D4BEB"/>
    <w:rsid w:val="002E0F2F"/>
    <w:rsid w:val="003261A7"/>
    <w:rsid w:val="00343E20"/>
    <w:rsid w:val="003A49E3"/>
    <w:rsid w:val="003F3950"/>
    <w:rsid w:val="00514E2B"/>
    <w:rsid w:val="008347E8"/>
    <w:rsid w:val="00841BF2"/>
    <w:rsid w:val="00977D6F"/>
    <w:rsid w:val="009B573F"/>
    <w:rsid w:val="00A66BD8"/>
    <w:rsid w:val="00A74BA3"/>
    <w:rsid w:val="00AB44E5"/>
    <w:rsid w:val="00D74D17"/>
    <w:rsid w:val="00E44E72"/>
    <w:rsid w:val="00EB0A2E"/>
    <w:rsid w:val="00F22E65"/>
    <w:rsid w:val="00F26B6E"/>
    <w:rsid w:val="00F61146"/>
    <w:rsid w:val="00FC57F3"/>
    <w:rsid w:val="00FD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983">
      <w:bodyDiv w:val="1"/>
      <w:marLeft w:val="0"/>
      <w:marRight w:val="0"/>
      <w:marTop w:val="0"/>
      <w:marBottom w:val="0"/>
      <w:divBdr>
        <w:top w:val="none" w:sz="0" w:space="0" w:color="auto"/>
        <w:left w:val="none" w:sz="0" w:space="0" w:color="auto"/>
        <w:bottom w:val="none" w:sz="0" w:space="0" w:color="auto"/>
        <w:right w:val="none" w:sz="0" w:space="0" w:color="auto"/>
      </w:divBdr>
      <w:divsChild>
        <w:div w:id="1991251206">
          <w:marLeft w:val="0"/>
          <w:marRight w:val="0"/>
          <w:marTop w:val="0"/>
          <w:marBottom w:val="0"/>
          <w:divBdr>
            <w:top w:val="none" w:sz="0" w:space="0" w:color="auto"/>
            <w:left w:val="none" w:sz="0" w:space="0" w:color="auto"/>
            <w:bottom w:val="none" w:sz="0" w:space="0" w:color="auto"/>
            <w:right w:val="none" w:sz="0" w:space="0" w:color="auto"/>
          </w:divBdr>
          <w:divsChild>
            <w:div w:id="1070739379">
              <w:marLeft w:val="45"/>
              <w:marRight w:val="0"/>
              <w:marTop w:val="0"/>
              <w:marBottom w:val="0"/>
              <w:divBdr>
                <w:top w:val="none" w:sz="0" w:space="0" w:color="auto"/>
                <w:left w:val="none" w:sz="0" w:space="0" w:color="auto"/>
                <w:bottom w:val="none" w:sz="0" w:space="0" w:color="auto"/>
                <w:right w:val="none" w:sz="0" w:space="0" w:color="auto"/>
              </w:divBdr>
              <w:divsChild>
                <w:div w:id="13298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68890">
      <w:bodyDiv w:val="1"/>
      <w:marLeft w:val="0"/>
      <w:marRight w:val="0"/>
      <w:marTop w:val="0"/>
      <w:marBottom w:val="0"/>
      <w:divBdr>
        <w:top w:val="none" w:sz="0" w:space="0" w:color="auto"/>
        <w:left w:val="none" w:sz="0" w:space="0" w:color="auto"/>
        <w:bottom w:val="none" w:sz="0" w:space="0" w:color="auto"/>
        <w:right w:val="none" w:sz="0" w:space="0" w:color="auto"/>
      </w:divBdr>
      <w:divsChild>
        <w:div w:id="1519854885">
          <w:marLeft w:val="0"/>
          <w:marRight w:val="0"/>
          <w:marTop w:val="0"/>
          <w:marBottom w:val="0"/>
          <w:divBdr>
            <w:top w:val="none" w:sz="0" w:space="0" w:color="auto"/>
            <w:left w:val="none" w:sz="0" w:space="0" w:color="auto"/>
            <w:bottom w:val="none" w:sz="0" w:space="0" w:color="auto"/>
            <w:right w:val="none" w:sz="0" w:space="0" w:color="auto"/>
          </w:divBdr>
          <w:divsChild>
            <w:div w:id="1251696545">
              <w:marLeft w:val="45"/>
              <w:marRight w:val="0"/>
              <w:marTop w:val="0"/>
              <w:marBottom w:val="0"/>
              <w:divBdr>
                <w:top w:val="none" w:sz="0" w:space="0" w:color="auto"/>
                <w:left w:val="none" w:sz="0" w:space="0" w:color="auto"/>
                <w:bottom w:val="none" w:sz="0" w:space="0" w:color="auto"/>
                <w:right w:val="none" w:sz="0" w:space="0" w:color="auto"/>
              </w:divBdr>
              <w:divsChild>
                <w:div w:id="656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74A05B-C79A-47FD-92FB-17512416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swblacem</dc:creator>
  <cp:lastModifiedBy>swgilks</cp:lastModifiedBy>
  <cp:revision>2</cp:revision>
  <cp:lastPrinted>2015-09-09T14:21:00Z</cp:lastPrinted>
  <dcterms:created xsi:type="dcterms:W3CDTF">2015-09-10T08:43:00Z</dcterms:created>
  <dcterms:modified xsi:type="dcterms:W3CDTF">2015-09-10T08:43:00Z</dcterms:modified>
</cp:coreProperties>
</file>