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8D" w:rsidRDefault="00775230">
      <w:pPr>
        <w:rPr>
          <w:rFonts w:ascii="Arial" w:hAnsi="Arial" w:cs="Arial"/>
          <w:b/>
          <w:sz w:val="36"/>
          <w:szCs w:val="36"/>
        </w:rPr>
      </w:pPr>
      <w:bookmarkStart w:id="0" w:name="_GoBack"/>
      <w:bookmarkEnd w:id="0"/>
      <w:r>
        <w:rPr>
          <w:rFonts w:ascii="Arial" w:hAnsi="Arial" w:cs="Arial"/>
          <w:b/>
          <w:sz w:val="36"/>
          <w:szCs w:val="36"/>
        </w:rPr>
        <w:t>Podiatry</w:t>
      </w:r>
      <w:r w:rsidR="00FC57F3">
        <w:rPr>
          <w:rFonts w:ascii="Arial" w:hAnsi="Arial" w:cs="Arial"/>
          <w:b/>
          <w:sz w:val="36"/>
          <w:szCs w:val="36"/>
        </w:rPr>
        <w:t xml:space="preserve"> Services</w:t>
      </w:r>
    </w:p>
    <w:p w:rsidR="00C96ACB" w:rsidRDefault="00C96ACB" w:rsidP="00C96ACB">
      <w:pPr>
        <w:rPr>
          <w:b/>
          <w:sz w:val="28"/>
        </w:rPr>
      </w:pPr>
      <w:r w:rsidRPr="00C96ACB">
        <w:rPr>
          <w:b/>
          <w:sz w:val="28"/>
        </w:rPr>
        <w:t>Overview</w:t>
      </w:r>
    </w:p>
    <w:p w:rsidR="00775230" w:rsidRDefault="00775230" w:rsidP="00775230">
      <w:pPr>
        <w:spacing w:after="0" w:line="240" w:lineRule="auto"/>
        <w:rPr>
          <w:rFonts w:eastAsia="Calibri" w:cs="Times New Roman"/>
        </w:rPr>
      </w:pPr>
      <w:r w:rsidRPr="00231681">
        <w:rPr>
          <w:rFonts w:cs="Arial"/>
          <w:bCs/>
          <w:color w:val="000000"/>
        </w:rPr>
        <w:t>The Podiatry service is</w:t>
      </w:r>
      <w:r w:rsidRPr="00D61992">
        <w:rPr>
          <w:rFonts w:cs="Arial"/>
          <w:bCs/>
          <w:color w:val="000000"/>
        </w:rPr>
        <w:t xml:space="preserve"> about achieving good foot health through the assessment, risk identification, diagnosis and treatment of conditions of the foot and lower leg. It aims to prevent, eradicate and/or control disease and disability, through evidence-based primary, secondary and tertiary interventions and as part of clinical pathways and </w:t>
      </w:r>
      <w:r w:rsidRPr="00231681">
        <w:rPr>
          <w:rFonts w:cs="Arial"/>
          <w:bCs/>
          <w:color w:val="000000"/>
        </w:rPr>
        <w:t>Multi-Disciplinary</w:t>
      </w:r>
      <w:r w:rsidRPr="00D61992">
        <w:rPr>
          <w:rFonts w:cs="Arial"/>
          <w:bCs/>
          <w:color w:val="000000"/>
        </w:rPr>
        <w:t xml:space="preserve"> Teams (MDTs)</w:t>
      </w:r>
      <w:r>
        <w:rPr>
          <w:rFonts w:cs="Arial"/>
          <w:bCs/>
          <w:color w:val="000000"/>
        </w:rPr>
        <w:t>.</w:t>
      </w:r>
      <w:r w:rsidRPr="00231681">
        <w:rPr>
          <w:rFonts w:eastAsia="Calibri" w:cs="Times New Roman"/>
        </w:rPr>
        <w:t xml:space="preserve"> </w:t>
      </w:r>
    </w:p>
    <w:p w:rsidR="00775230" w:rsidRDefault="00775230" w:rsidP="00775230">
      <w:pPr>
        <w:spacing w:after="0" w:line="240" w:lineRule="auto"/>
        <w:rPr>
          <w:rFonts w:eastAsia="Calibri" w:cs="Times New Roman"/>
        </w:rPr>
      </w:pPr>
    </w:p>
    <w:p w:rsidR="00775230" w:rsidRDefault="00775230" w:rsidP="00775230">
      <w:pPr>
        <w:spacing w:after="0" w:line="240" w:lineRule="auto"/>
        <w:rPr>
          <w:rFonts w:eastAsia="Calibri" w:cs="Times New Roman"/>
        </w:rPr>
      </w:pPr>
      <w:r w:rsidRPr="00231681">
        <w:rPr>
          <w:rFonts w:eastAsia="Calibri" w:cs="Times New Roman"/>
        </w:rPr>
        <w:t xml:space="preserve">The </w:t>
      </w:r>
      <w:r>
        <w:rPr>
          <w:rFonts w:eastAsia="Calibri" w:cs="Times New Roman"/>
        </w:rPr>
        <w:t>p</w:t>
      </w:r>
      <w:r w:rsidRPr="00231681">
        <w:rPr>
          <w:rFonts w:eastAsia="Calibri" w:cs="Times New Roman"/>
        </w:rPr>
        <w:t>odiatry team are based at the Orchard Centre</w:t>
      </w:r>
      <w:r>
        <w:rPr>
          <w:rFonts w:eastAsia="Calibri" w:cs="Times New Roman"/>
        </w:rPr>
        <w:t xml:space="preserve"> and</w:t>
      </w:r>
      <w:r w:rsidRPr="00D61992">
        <w:rPr>
          <w:rFonts w:eastAsia="Calibri" w:cs="Times New Roman"/>
        </w:rPr>
        <w:t> </w:t>
      </w:r>
      <w:r>
        <w:rPr>
          <w:rFonts w:eastAsia="Calibri" w:cs="Times New Roman"/>
        </w:rPr>
        <w:t>a</w:t>
      </w:r>
      <w:r w:rsidRPr="00231681">
        <w:rPr>
          <w:rFonts w:eastAsia="Calibri" w:cs="Times New Roman"/>
        </w:rPr>
        <w:t xml:space="preserve">ll </w:t>
      </w:r>
      <w:r>
        <w:rPr>
          <w:rFonts w:eastAsia="Calibri" w:cs="Times New Roman"/>
        </w:rPr>
        <w:t>r</w:t>
      </w:r>
      <w:r w:rsidRPr="00D61992">
        <w:rPr>
          <w:rFonts w:eastAsia="Calibri" w:cs="Times New Roman"/>
        </w:rPr>
        <w:t>eferrals are triaged every working day, at our single point of access</w:t>
      </w:r>
      <w:r>
        <w:rPr>
          <w:rFonts w:eastAsia="Calibri" w:cs="Times New Roman"/>
        </w:rPr>
        <w:t xml:space="preserve">. </w:t>
      </w:r>
    </w:p>
    <w:p w:rsidR="00775230" w:rsidRDefault="00775230" w:rsidP="00775230">
      <w:pPr>
        <w:spacing w:after="0" w:line="240" w:lineRule="auto"/>
        <w:rPr>
          <w:rFonts w:eastAsia="Calibri" w:cs="Times New Roman"/>
        </w:rPr>
      </w:pPr>
    </w:p>
    <w:p w:rsidR="00775230" w:rsidRPr="00775230" w:rsidRDefault="00775230" w:rsidP="00775230">
      <w:pPr>
        <w:spacing w:after="0" w:line="240" w:lineRule="auto"/>
        <w:rPr>
          <w:rFonts w:eastAsia="Calibri" w:cs="Times New Roman"/>
          <w:b/>
          <w:sz w:val="32"/>
        </w:rPr>
      </w:pPr>
      <w:r>
        <w:rPr>
          <w:rFonts w:eastAsia="Calibri" w:cs="Times New Roman"/>
          <w:b/>
          <w:sz w:val="32"/>
        </w:rPr>
        <w:t xml:space="preserve">Referral </w:t>
      </w:r>
      <w:r w:rsidRPr="00775230">
        <w:rPr>
          <w:rFonts w:eastAsia="Calibri" w:cs="Times New Roman"/>
          <w:b/>
          <w:sz w:val="32"/>
        </w:rPr>
        <w:t>Criteria</w:t>
      </w:r>
    </w:p>
    <w:p w:rsidR="00775230" w:rsidRDefault="00775230" w:rsidP="00775230">
      <w:pPr>
        <w:pStyle w:val="PlainText"/>
        <w:ind w:left="720"/>
      </w:pPr>
    </w:p>
    <w:p w:rsidR="00775230" w:rsidRPr="00FC3A9B" w:rsidRDefault="00775230" w:rsidP="00775230">
      <w:pPr>
        <w:rPr>
          <w:rFonts w:cs="Arial"/>
        </w:rPr>
      </w:pPr>
      <w:r w:rsidRPr="00FC3A9B">
        <w:rPr>
          <w:rFonts w:cs="Arial"/>
        </w:rPr>
        <w:t>Podiatry treatments are given on the basis of medical risk, and foot health need, and may result in packages of care relating to the problem referred for, and may not always result in long term treatments.</w:t>
      </w:r>
    </w:p>
    <w:p w:rsidR="00775230" w:rsidRPr="00FC3A9B" w:rsidRDefault="00775230" w:rsidP="00775230">
      <w:pPr>
        <w:rPr>
          <w:rFonts w:cs="Arial"/>
        </w:rPr>
      </w:pPr>
      <w:r w:rsidRPr="00FC3A9B">
        <w:rPr>
          <w:rFonts w:cs="Arial"/>
          <w:b/>
        </w:rPr>
        <w:t>Packages of care are provided for</w:t>
      </w:r>
      <w:r w:rsidRPr="00FC3A9B">
        <w:rPr>
          <w:rFonts w:cs="Arial"/>
        </w:rPr>
        <w:t>:</w:t>
      </w:r>
    </w:p>
    <w:p w:rsidR="00775230" w:rsidRDefault="00775230" w:rsidP="00775230">
      <w:pPr>
        <w:numPr>
          <w:ilvl w:val="0"/>
          <w:numId w:val="24"/>
        </w:numPr>
        <w:spacing w:after="120" w:line="240" w:lineRule="auto"/>
        <w:ind w:left="714" w:hanging="357"/>
        <w:rPr>
          <w:rFonts w:cs="Arial"/>
        </w:rPr>
      </w:pPr>
      <w:r w:rsidRPr="00A61E12">
        <w:rPr>
          <w:rFonts w:cs="Arial"/>
        </w:rPr>
        <w:t xml:space="preserve">Diabetics at Emergency, High and Moderate Foot Risk, where there is a podiatry need. -According to NICE Guideline 19 (2015) </w:t>
      </w:r>
    </w:p>
    <w:p w:rsidR="00775230" w:rsidRPr="00A61E12" w:rsidRDefault="00775230" w:rsidP="00775230">
      <w:pPr>
        <w:numPr>
          <w:ilvl w:val="0"/>
          <w:numId w:val="24"/>
        </w:numPr>
        <w:spacing w:after="120" w:line="240" w:lineRule="auto"/>
        <w:ind w:left="714" w:hanging="357"/>
        <w:rPr>
          <w:rFonts w:cs="Arial"/>
        </w:rPr>
      </w:pPr>
      <w:r w:rsidRPr="00A61E12">
        <w:rPr>
          <w:rFonts w:cs="Arial"/>
        </w:rPr>
        <w:t>Mental Health problems affecting capability to attend feet</w:t>
      </w:r>
    </w:p>
    <w:p w:rsidR="00775230" w:rsidRDefault="00775230" w:rsidP="00775230">
      <w:pPr>
        <w:numPr>
          <w:ilvl w:val="0"/>
          <w:numId w:val="24"/>
        </w:numPr>
        <w:spacing w:after="120" w:line="240" w:lineRule="auto"/>
        <w:ind w:left="714" w:hanging="357"/>
        <w:rPr>
          <w:rFonts w:cs="Arial"/>
        </w:rPr>
      </w:pPr>
      <w:r w:rsidRPr="00FC3A9B">
        <w:rPr>
          <w:rFonts w:cs="Arial"/>
        </w:rPr>
        <w:t xml:space="preserve">Neurological or </w:t>
      </w:r>
      <w:r>
        <w:rPr>
          <w:rFonts w:cs="Arial"/>
        </w:rPr>
        <w:t xml:space="preserve">neuropathic lower limb &amp; </w:t>
      </w:r>
      <w:r w:rsidRPr="00FC3A9B">
        <w:rPr>
          <w:rFonts w:cs="Arial"/>
        </w:rPr>
        <w:t>stability issues.</w:t>
      </w:r>
    </w:p>
    <w:p w:rsidR="00775230" w:rsidRPr="00FC3A9B" w:rsidRDefault="00775230" w:rsidP="00775230">
      <w:pPr>
        <w:numPr>
          <w:ilvl w:val="0"/>
          <w:numId w:val="24"/>
        </w:numPr>
        <w:spacing w:after="120" w:line="240" w:lineRule="auto"/>
        <w:ind w:left="714" w:hanging="357"/>
        <w:rPr>
          <w:rFonts w:cs="Arial"/>
        </w:rPr>
      </w:pPr>
      <w:r>
        <w:rPr>
          <w:rFonts w:cs="Arial"/>
        </w:rPr>
        <w:t>Ischaemic lower limb e.g. PVD</w:t>
      </w:r>
    </w:p>
    <w:p w:rsidR="00775230" w:rsidRPr="00FC3A9B" w:rsidRDefault="00775230" w:rsidP="00775230">
      <w:pPr>
        <w:numPr>
          <w:ilvl w:val="0"/>
          <w:numId w:val="24"/>
        </w:numPr>
        <w:spacing w:after="120" w:line="240" w:lineRule="auto"/>
        <w:ind w:left="714" w:hanging="357"/>
        <w:rPr>
          <w:rFonts w:cs="Arial"/>
        </w:rPr>
      </w:pPr>
      <w:r w:rsidRPr="00FC3A9B">
        <w:rPr>
          <w:rFonts w:cs="Arial"/>
        </w:rPr>
        <w:t>Rheumatoid diseases</w:t>
      </w:r>
      <w:r>
        <w:rPr>
          <w:rFonts w:cs="Arial"/>
        </w:rPr>
        <w:t xml:space="preserve">(not </w:t>
      </w:r>
      <w:r w:rsidRPr="00FC3A9B">
        <w:rPr>
          <w:rFonts w:cs="Arial"/>
        </w:rPr>
        <w:t>osteoarthritis)</w:t>
      </w:r>
    </w:p>
    <w:p w:rsidR="00775230" w:rsidRPr="00FC3A9B" w:rsidRDefault="00775230" w:rsidP="00775230">
      <w:pPr>
        <w:numPr>
          <w:ilvl w:val="0"/>
          <w:numId w:val="24"/>
        </w:numPr>
        <w:spacing w:after="120" w:line="240" w:lineRule="auto"/>
        <w:ind w:left="714" w:hanging="357"/>
        <w:rPr>
          <w:rFonts w:cs="Arial"/>
        </w:rPr>
      </w:pPr>
      <w:r>
        <w:rPr>
          <w:rFonts w:cs="Arial"/>
        </w:rPr>
        <w:t>COPD, where Oxygen</w:t>
      </w:r>
      <w:r w:rsidRPr="00FC3A9B">
        <w:rPr>
          <w:rFonts w:cs="Arial"/>
        </w:rPr>
        <w:t xml:space="preserve"> insufficiency compromises tissue viability.</w:t>
      </w:r>
    </w:p>
    <w:p w:rsidR="00775230" w:rsidRPr="00FC3A9B" w:rsidRDefault="00775230" w:rsidP="00775230">
      <w:pPr>
        <w:numPr>
          <w:ilvl w:val="0"/>
          <w:numId w:val="24"/>
        </w:numPr>
        <w:spacing w:after="120" w:line="240" w:lineRule="auto"/>
        <w:ind w:left="714" w:hanging="357"/>
        <w:rPr>
          <w:rFonts w:cs="Arial"/>
        </w:rPr>
      </w:pPr>
      <w:r w:rsidRPr="00FC3A9B">
        <w:rPr>
          <w:rFonts w:cs="Arial"/>
        </w:rPr>
        <w:t>Kidney disease</w:t>
      </w:r>
      <w:r>
        <w:rPr>
          <w:rFonts w:cs="Arial"/>
        </w:rPr>
        <w:t xml:space="preserve"> -Stage</w:t>
      </w:r>
      <w:r w:rsidRPr="00FC3A9B">
        <w:rPr>
          <w:rFonts w:cs="Arial"/>
        </w:rPr>
        <w:t>,4 &amp; 5 (formally End Stage Renal Failure)</w:t>
      </w:r>
    </w:p>
    <w:p w:rsidR="00775230" w:rsidRDefault="00775230" w:rsidP="00775230">
      <w:pPr>
        <w:numPr>
          <w:ilvl w:val="0"/>
          <w:numId w:val="24"/>
        </w:numPr>
        <w:spacing w:after="120" w:line="240" w:lineRule="auto"/>
        <w:ind w:left="714" w:hanging="357"/>
        <w:rPr>
          <w:rFonts w:cs="Arial"/>
        </w:rPr>
      </w:pPr>
      <w:r>
        <w:rPr>
          <w:rFonts w:cs="Arial"/>
        </w:rPr>
        <w:t>Foot ulceration associated with a long term condition</w:t>
      </w:r>
    </w:p>
    <w:p w:rsidR="00775230" w:rsidRDefault="00775230" w:rsidP="00775230">
      <w:pPr>
        <w:numPr>
          <w:ilvl w:val="0"/>
          <w:numId w:val="24"/>
        </w:numPr>
        <w:spacing w:after="120" w:line="240" w:lineRule="auto"/>
        <w:ind w:left="714" w:hanging="357"/>
        <w:rPr>
          <w:rFonts w:cs="Arial"/>
        </w:rPr>
      </w:pPr>
      <w:r w:rsidRPr="00FC3A9B">
        <w:rPr>
          <w:rFonts w:cs="Arial"/>
        </w:rPr>
        <w:t>End of Life care</w:t>
      </w:r>
    </w:p>
    <w:p w:rsidR="00D1568D" w:rsidRPr="00A61E12" w:rsidRDefault="00D1568D" w:rsidP="00D1568D">
      <w:pPr>
        <w:spacing w:after="120" w:line="240" w:lineRule="auto"/>
        <w:ind w:left="714"/>
        <w:rPr>
          <w:rFonts w:cs="Arial"/>
        </w:rPr>
      </w:pPr>
    </w:p>
    <w:p w:rsidR="00775230" w:rsidRPr="00FC3A9B" w:rsidRDefault="00775230" w:rsidP="00775230">
      <w:pPr>
        <w:rPr>
          <w:rFonts w:cs="Arial"/>
          <w:b/>
        </w:rPr>
      </w:pPr>
      <w:r w:rsidRPr="00FC3A9B">
        <w:rPr>
          <w:rFonts w:cs="Arial"/>
          <w:b/>
        </w:rPr>
        <w:t>Provision of packages of care for healthy adults and children include:</w:t>
      </w:r>
    </w:p>
    <w:p w:rsidR="00775230" w:rsidRPr="00FC3A9B" w:rsidRDefault="00775230" w:rsidP="00775230">
      <w:pPr>
        <w:numPr>
          <w:ilvl w:val="0"/>
          <w:numId w:val="25"/>
        </w:numPr>
        <w:spacing w:after="120" w:line="240" w:lineRule="auto"/>
        <w:ind w:left="714" w:hanging="357"/>
        <w:rPr>
          <w:rFonts w:cs="Arial"/>
        </w:rPr>
      </w:pPr>
      <w:r w:rsidRPr="00FC3A9B">
        <w:rPr>
          <w:rFonts w:cs="Arial"/>
        </w:rPr>
        <w:t>Musculoskeletal conditions</w:t>
      </w:r>
      <w:r>
        <w:rPr>
          <w:rFonts w:cs="Arial"/>
        </w:rPr>
        <w:t>,</w:t>
      </w:r>
      <w:r w:rsidRPr="00FC3A9B">
        <w:rPr>
          <w:rFonts w:cs="Arial"/>
        </w:rPr>
        <w:t xml:space="preserve"> as per foot and ankle pathway.</w:t>
      </w:r>
    </w:p>
    <w:p w:rsidR="00775230" w:rsidRDefault="00775230" w:rsidP="00775230">
      <w:pPr>
        <w:pStyle w:val="PlainText"/>
        <w:ind w:left="720"/>
      </w:pPr>
      <w:r w:rsidRPr="00FC3A9B">
        <w:rPr>
          <w:rFonts w:cs="Arial"/>
        </w:rPr>
        <w:t>Nail Surgery, for the removal of ingrowing toenails under local anaesthetic</w:t>
      </w:r>
    </w:p>
    <w:p w:rsidR="00775230" w:rsidRDefault="00775230" w:rsidP="00775230">
      <w:pPr>
        <w:pStyle w:val="PlainText"/>
      </w:pPr>
    </w:p>
    <w:p w:rsidR="00775230" w:rsidRPr="00D1568D" w:rsidRDefault="00775230" w:rsidP="00D1568D">
      <w:pPr>
        <w:spacing w:line="240" w:lineRule="auto"/>
        <w:rPr>
          <w:rFonts w:ascii="Arial" w:hAnsi="Arial" w:cs="Arial"/>
          <w:b/>
          <w:sz w:val="32"/>
        </w:rPr>
      </w:pPr>
      <w:r w:rsidRPr="00775230">
        <w:rPr>
          <w:rFonts w:ascii="Arial" w:hAnsi="Arial" w:cs="Arial"/>
          <w:b/>
          <w:sz w:val="32"/>
        </w:rPr>
        <w:t>Referral Process and Documentation</w:t>
      </w:r>
    </w:p>
    <w:p w:rsidR="00775230" w:rsidRDefault="00D1568D" w:rsidP="00775230">
      <w:pPr>
        <w:pStyle w:val="PlainText"/>
      </w:pPr>
      <w:r>
        <w:t>The p</w:t>
      </w:r>
      <w:r w:rsidR="00775230">
        <w:t xml:space="preserve">odiatry </w:t>
      </w:r>
      <w:r>
        <w:t xml:space="preserve">service </w:t>
      </w:r>
      <w:r w:rsidR="00775230">
        <w:t>has an internet page where there is the referr</w:t>
      </w:r>
      <w:r>
        <w:t>al form available for download and</w:t>
      </w:r>
      <w:r w:rsidR="00775230">
        <w:t xml:space="preserve"> useful information about the service including the criteria for assessment. The link is below. </w:t>
      </w:r>
    </w:p>
    <w:p w:rsidR="00775230" w:rsidRDefault="00DC514B" w:rsidP="00775230">
      <w:pPr>
        <w:pStyle w:val="PlainText"/>
      </w:pPr>
      <w:hyperlink r:id="rId9" w:history="1">
        <w:r w:rsidR="00775230" w:rsidRPr="00361638">
          <w:rPr>
            <w:rStyle w:val="Hyperlink"/>
          </w:rPr>
          <w:t>https://www.swft.nhs.uk/our-services/podiatry.aspx</w:t>
        </w:r>
      </w:hyperlink>
    </w:p>
    <w:p w:rsidR="00775230" w:rsidRDefault="00775230" w:rsidP="00775230">
      <w:pPr>
        <w:pStyle w:val="PlainText"/>
      </w:pPr>
    </w:p>
    <w:p w:rsidR="00775230" w:rsidRDefault="00775230" w:rsidP="00775230">
      <w:pPr>
        <w:pStyle w:val="PlainText"/>
      </w:pPr>
      <w:r>
        <w:t>We accept self-referrals from patients where they meet the access criteria. We have a Podiatry Single Point of Access that supports the service provided across the county</w:t>
      </w:r>
      <w:r w:rsidR="00D1568D">
        <w:t xml:space="preserve"> and the contact details are below:</w:t>
      </w:r>
    </w:p>
    <w:p w:rsidR="00775230" w:rsidRDefault="00775230" w:rsidP="00775230">
      <w:pPr>
        <w:pStyle w:val="PlainText"/>
      </w:pPr>
    </w:p>
    <w:p w:rsidR="00775230" w:rsidRPr="00A710AC" w:rsidRDefault="00775230" w:rsidP="00775230">
      <w:pPr>
        <w:pStyle w:val="ListParagraph"/>
        <w:rPr>
          <w:rFonts w:cs="Arial"/>
          <w:b/>
        </w:rPr>
      </w:pPr>
      <w:r w:rsidRPr="00A710AC">
        <w:rPr>
          <w:rFonts w:cs="Arial"/>
          <w:b/>
        </w:rPr>
        <w:t xml:space="preserve">Podiatry Referrals, Podiatry SPA, Royal Leamington Spa Rehabilitation Hospital, </w:t>
      </w:r>
      <w:proofErr w:type="spellStart"/>
      <w:r w:rsidRPr="00A710AC">
        <w:rPr>
          <w:rFonts w:cs="Arial"/>
          <w:b/>
        </w:rPr>
        <w:t>Heathcote</w:t>
      </w:r>
      <w:proofErr w:type="spellEnd"/>
      <w:r w:rsidRPr="00A710AC">
        <w:rPr>
          <w:rFonts w:cs="Arial"/>
          <w:b/>
        </w:rPr>
        <w:t xml:space="preserve"> Ho</w:t>
      </w:r>
      <w:r>
        <w:rPr>
          <w:rFonts w:cs="Arial"/>
          <w:b/>
        </w:rPr>
        <w:t xml:space="preserve">use, </w:t>
      </w:r>
      <w:proofErr w:type="spellStart"/>
      <w:r>
        <w:rPr>
          <w:rFonts w:cs="Arial"/>
          <w:b/>
        </w:rPr>
        <w:t>Heathcote</w:t>
      </w:r>
      <w:proofErr w:type="spellEnd"/>
      <w:r>
        <w:rPr>
          <w:rFonts w:cs="Arial"/>
          <w:b/>
        </w:rPr>
        <w:t xml:space="preserve"> Lane, Warwick CV</w:t>
      </w:r>
      <w:r w:rsidRPr="00A710AC">
        <w:rPr>
          <w:rFonts w:cs="Arial"/>
          <w:b/>
        </w:rPr>
        <w:t xml:space="preserve">34 6SR </w:t>
      </w:r>
    </w:p>
    <w:p w:rsidR="00775230" w:rsidRPr="00A710AC" w:rsidRDefault="00775230" w:rsidP="00775230">
      <w:pPr>
        <w:pStyle w:val="ListParagraph"/>
        <w:rPr>
          <w:rFonts w:cs="Arial"/>
          <w:b/>
        </w:rPr>
      </w:pPr>
      <w:r w:rsidRPr="00A710AC">
        <w:rPr>
          <w:rFonts w:cs="Arial"/>
          <w:b/>
        </w:rPr>
        <w:t xml:space="preserve">Tel: 01926 600810; Fax: 01926 600812; Email </w:t>
      </w:r>
      <w:hyperlink r:id="rId10" w:history="1">
        <w:r w:rsidRPr="00A710AC">
          <w:rPr>
            <w:rStyle w:val="Hyperlink"/>
            <w:rFonts w:cs="Arial"/>
            <w:b/>
          </w:rPr>
          <w:t>podiatryreferrals@swft.nhs.uk</w:t>
        </w:r>
      </w:hyperlink>
      <w:r w:rsidRPr="00A710AC">
        <w:rPr>
          <w:rFonts w:cs="Arial"/>
          <w:b/>
        </w:rPr>
        <w:t xml:space="preserve">  </w:t>
      </w:r>
    </w:p>
    <w:p w:rsidR="00775230" w:rsidRDefault="00775230" w:rsidP="00775230">
      <w:pPr>
        <w:pStyle w:val="PlainText"/>
      </w:pPr>
    </w:p>
    <w:p w:rsidR="00775230" w:rsidRDefault="00775230" w:rsidP="00775230">
      <w:pPr>
        <w:pStyle w:val="PlainText"/>
        <w:ind w:left="360"/>
      </w:pPr>
    </w:p>
    <w:p w:rsidR="00775230" w:rsidRPr="00D1568D" w:rsidRDefault="00775230" w:rsidP="00D1568D">
      <w:pPr>
        <w:rPr>
          <w:rFonts w:cs="Arial"/>
        </w:rPr>
      </w:pPr>
      <w:r w:rsidRPr="00FC3A9B">
        <w:rPr>
          <w:rFonts w:cs="Arial"/>
        </w:rPr>
        <w:t>After we have received the referral, the patient will be contacted by telephone for telephone triage to assess the priority for assessment/treatment. We aim t</w:t>
      </w:r>
      <w:r w:rsidR="00D1568D">
        <w:rPr>
          <w:rFonts w:cs="Arial"/>
        </w:rPr>
        <w:t xml:space="preserve">o contact emergency referrals </w:t>
      </w:r>
      <w:r w:rsidRPr="00FC3A9B">
        <w:rPr>
          <w:rFonts w:cs="Arial"/>
        </w:rPr>
        <w:t xml:space="preserve">within </w:t>
      </w:r>
      <w:r>
        <w:rPr>
          <w:rFonts w:cs="Arial"/>
        </w:rPr>
        <w:t>one</w:t>
      </w:r>
      <w:r w:rsidRPr="00FC3A9B">
        <w:rPr>
          <w:rFonts w:cs="Arial"/>
        </w:rPr>
        <w:t xml:space="preserve"> working day and currently work within </w:t>
      </w:r>
      <w:r w:rsidR="00D1568D" w:rsidRPr="00FC3A9B">
        <w:rPr>
          <w:rFonts w:cs="Arial"/>
        </w:rPr>
        <w:t>D</w:t>
      </w:r>
      <w:r w:rsidR="00D1568D">
        <w:rPr>
          <w:rFonts w:cs="Arial"/>
        </w:rPr>
        <w:t xml:space="preserve">epartment of Health </w:t>
      </w:r>
      <w:r w:rsidRPr="00FC3A9B">
        <w:rPr>
          <w:rFonts w:cs="Arial"/>
        </w:rPr>
        <w:t xml:space="preserve">guidelines to action all </w:t>
      </w:r>
      <w:r>
        <w:rPr>
          <w:rFonts w:cs="Arial"/>
        </w:rPr>
        <w:t xml:space="preserve">other </w:t>
      </w:r>
      <w:r w:rsidRPr="00FC3A9B">
        <w:rPr>
          <w:rFonts w:cs="Arial"/>
        </w:rPr>
        <w:t>referrals within the 18 week wait time.</w:t>
      </w:r>
    </w:p>
    <w:p w:rsidR="00775230" w:rsidRDefault="00775230" w:rsidP="00D1568D">
      <w:pPr>
        <w:pStyle w:val="PlainText"/>
        <w:rPr>
          <w:rFonts w:cs="Arial"/>
        </w:rPr>
      </w:pPr>
      <w:r w:rsidRPr="00FC3A9B">
        <w:rPr>
          <w:rFonts w:cs="Arial"/>
        </w:rPr>
        <w:t>Individuals with needs such as routine nail care, and other minor conditions, will be advised regarding self-care, and or signposting to other agencies.  Our service is not based on any means testing criteria.</w:t>
      </w:r>
      <w:r w:rsidR="00D1568D">
        <w:rPr>
          <w:rFonts w:cs="Arial"/>
        </w:rPr>
        <w:t xml:space="preserve"> </w:t>
      </w:r>
      <w:r>
        <w:rPr>
          <w:rFonts w:cs="Arial"/>
        </w:rPr>
        <w:t xml:space="preserve">Please note that we only see people at home as an exception and only offer the service to those who are completely housebound </w:t>
      </w:r>
    </w:p>
    <w:p w:rsidR="00D1568D" w:rsidRPr="00D1568D" w:rsidRDefault="00D1568D" w:rsidP="00D1568D">
      <w:pPr>
        <w:pStyle w:val="PlainText"/>
      </w:pPr>
    </w:p>
    <w:p w:rsidR="00775230" w:rsidRPr="00FC3A9B" w:rsidRDefault="00775230" w:rsidP="00775230">
      <w:pPr>
        <w:rPr>
          <w:rFonts w:cs="Arial"/>
        </w:rPr>
      </w:pPr>
      <w:r>
        <w:rPr>
          <w:rFonts w:cs="Arial"/>
        </w:rPr>
        <w:t xml:space="preserve">In Rugby we have no direct access to the Multi-disciplinary foot clinic or </w:t>
      </w:r>
      <w:proofErr w:type="spellStart"/>
      <w:r>
        <w:rPr>
          <w:rFonts w:cs="Arial"/>
        </w:rPr>
        <w:t>Orthotist</w:t>
      </w:r>
      <w:proofErr w:type="spellEnd"/>
      <w:r>
        <w:rPr>
          <w:rFonts w:cs="Arial"/>
        </w:rPr>
        <w:t xml:space="preserve"> at UHCW. These services are GP referral only</w:t>
      </w:r>
      <w:r w:rsidR="00D1568D">
        <w:rPr>
          <w:rFonts w:cs="Arial"/>
        </w:rPr>
        <w:t>.</w:t>
      </w:r>
    </w:p>
    <w:p w:rsidR="00D1568D" w:rsidRDefault="00775230" w:rsidP="00D1568D">
      <w:r w:rsidRPr="00D1568D">
        <w:t>Speciality Podiatry Teams</w:t>
      </w:r>
      <w:r w:rsidR="00D1568D">
        <w:t xml:space="preserve"> work in the following areas: </w:t>
      </w:r>
    </w:p>
    <w:p w:rsidR="00D1568D" w:rsidRDefault="00D1568D" w:rsidP="00775230">
      <w:pPr>
        <w:pStyle w:val="ListParagraph"/>
        <w:numPr>
          <w:ilvl w:val="0"/>
          <w:numId w:val="25"/>
        </w:numPr>
        <w:contextualSpacing/>
      </w:pPr>
      <w:r>
        <w:t>Neurology</w:t>
      </w:r>
    </w:p>
    <w:p w:rsidR="00775230" w:rsidRPr="000C6B0A" w:rsidRDefault="00775230" w:rsidP="00775230">
      <w:pPr>
        <w:pStyle w:val="ListParagraph"/>
        <w:numPr>
          <w:ilvl w:val="0"/>
          <w:numId w:val="25"/>
        </w:numPr>
        <w:contextualSpacing/>
      </w:pPr>
      <w:r w:rsidRPr="000C6B0A">
        <w:t xml:space="preserve">Rheumatology </w:t>
      </w:r>
    </w:p>
    <w:p w:rsidR="00775230" w:rsidRPr="000C6B0A" w:rsidRDefault="00775230" w:rsidP="00775230">
      <w:pPr>
        <w:pStyle w:val="ListParagraph"/>
        <w:numPr>
          <w:ilvl w:val="0"/>
          <w:numId w:val="25"/>
        </w:numPr>
        <w:contextualSpacing/>
      </w:pPr>
      <w:r w:rsidRPr="000C6B0A">
        <w:t xml:space="preserve">Diabetes </w:t>
      </w:r>
    </w:p>
    <w:p w:rsidR="00775230" w:rsidRPr="000C6B0A" w:rsidRDefault="00775230" w:rsidP="00775230">
      <w:pPr>
        <w:pStyle w:val="ListParagraph"/>
        <w:numPr>
          <w:ilvl w:val="0"/>
          <w:numId w:val="25"/>
        </w:numPr>
        <w:contextualSpacing/>
      </w:pPr>
      <w:r w:rsidRPr="000C6B0A">
        <w:t>Musculoskeletal problems</w:t>
      </w:r>
    </w:p>
    <w:p w:rsidR="00775230" w:rsidRPr="000C6B0A" w:rsidRDefault="00775230" w:rsidP="00775230">
      <w:pPr>
        <w:pStyle w:val="ListParagraph"/>
        <w:numPr>
          <w:ilvl w:val="0"/>
          <w:numId w:val="25"/>
        </w:numPr>
        <w:contextualSpacing/>
      </w:pPr>
      <w:r w:rsidRPr="000C6B0A">
        <w:t>Nail Surgery</w:t>
      </w:r>
    </w:p>
    <w:p w:rsidR="00775230" w:rsidRDefault="00775230" w:rsidP="00775230">
      <w:pPr>
        <w:pStyle w:val="ListParagraph"/>
        <w:numPr>
          <w:ilvl w:val="0"/>
          <w:numId w:val="25"/>
        </w:numPr>
        <w:contextualSpacing/>
      </w:pPr>
      <w:r w:rsidRPr="000C6B0A">
        <w:t>Mental Health</w:t>
      </w:r>
    </w:p>
    <w:p w:rsidR="00775230" w:rsidRPr="000C6B0A" w:rsidRDefault="00775230" w:rsidP="00775230">
      <w:pPr>
        <w:pStyle w:val="ListParagraph"/>
        <w:numPr>
          <w:ilvl w:val="0"/>
          <w:numId w:val="25"/>
        </w:numPr>
        <w:contextualSpacing/>
      </w:pPr>
      <w:r>
        <w:t>End of Life</w:t>
      </w:r>
    </w:p>
    <w:p w:rsidR="00775230" w:rsidRPr="00661662" w:rsidRDefault="00775230" w:rsidP="00775230">
      <w:pPr>
        <w:rPr>
          <w:rFonts w:cs="Arial"/>
          <w:b/>
        </w:rPr>
      </w:pPr>
      <w:r>
        <w:rPr>
          <w:rFonts w:cs="Arial"/>
          <w:b/>
        </w:rPr>
        <w:t xml:space="preserve">Podiatry </w:t>
      </w:r>
      <w:r w:rsidRPr="00661662">
        <w:rPr>
          <w:rFonts w:cs="Arial"/>
          <w:b/>
        </w:rPr>
        <w:t xml:space="preserve">Pathways </w:t>
      </w:r>
    </w:p>
    <w:p w:rsidR="00775230" w:rsidRDefault="00775230" w:rsidP="00775230">
      <w:pPr>
        <w:rPr>
          <w:rFonts w:cs="Arial"/>
        </w:rPr>
      </w:pPr>
      <w:r>
        <w:rPr>
          <w:rFonts w:cs="Arial"/>
        </w:rPr>
        <w:t>Diabetic Foot Pathways (4)-These are currently under review as NICE guideline 19 was updated in August 2015</w:t>
      </w:r>
    </w:p>
    <w:p w:rsidR="00775230" w:rsidRPr="00D1568D" w:rsidRDefault="00775230" w:rsidP="00D1568D">
      <w:pPr>
        <w:pStyle w:val="ListParagraph"/>
        <w:numPr>
          <w:ilvl w:val="0"/>
          <w:numId w:val="26"/>
        </w:numPr>
        <w:rPr>
          <w:rFonts w:cs="Arial"/>
        </w:rPr>
      </w:pPr>
      <w:r w:rsidRPr="00D1568D">
        <w:rPr>
          <w:rFonts w:cs="Arial"/>
        </w:rPr>
        <w:t>Rheumatology Pathway</w:t>
      </w:r>
    </w:p>
    <w:p w:rsidR="00775230" w:rsidRPr="00D1568D" w:rsidRDefault="00775230" w:rsidP="00D1568D">
      <w:pPr>
        <w:pStyle w:val="ListParagraph"/>
        <w:numPr>
          <w:ilvl w:val="0"/>
          <w:numId w:val="26"/>
        </w:numPr>
        <w:rPr>
          <w:rFonts w:cs="Arial"/>
        </w:rPr>
      </w:pPr>
      <w:r w:rsidRPr="00D1568D">
        <w:rPr>
          <w:rFonts w:cs="Arial"/>
        </w:rPr>
        <w:t>Foot &amp; Ankle Pathway</w:t>
      </w:r>
    </w:p>
    <w:p w:rsidR="00775230" w:rsidRPr="00D1568D" w:rsidRDefault="00775230" w:rsidP="00D1568D">
      <w:pPr>
        <w:pStyle w:val="ListParagraph"/>
        <w:numPr>
          <w:ilvl w:val="0"/>
          <w:numId w:val="26"/>
        </w:numPr>
        <w:rPr>
          <w:rFonts w:cs="Arial"/>
        </w:rPr>
      </w:pPr>
      <w:r w:rsidRPr="00D1568D">
        <w:rPr>
          <w:rFonts w:cs="Arial"/>
        </w:rPr>
        <w:t>Nail Surgery Pathway</w:t>
      </w:r>
    </w:p>
    <w:p w:rsidR="00775230" w:rsidRPr="00D1568D" w:rsidRDefault="00775230" w:rsidP="00D1568D">
      <w:pPr>
        <w:pStyle w:val="ListParagraph"/>
        <w:numPr>
          <w:ilvl w:val="0"/>
          <w:numId w:val="26"/>
        </w:numPr>
        <w:rPr>
          <w:rFonts w:cs="Arial"/>
        </w:rPr>
      </w:pPr>
      <w:r w:rsidRPr="00D1568D">
        <w:rPr>
          <w:rFonts w:cs="Arial"/>
        </w:rPr>
        <w:t>AQP Nail Surgery Pathway</w:t>
      </w:r>
    </w:p>
    <w:p w:rsidR="00775230" w:rsidRPr="00FC3A9B" w:rsidRDefault="00775230" w:rsidP="00775230">
      <w:pPr>
        <w:rPr>
          <w:rFonts w:cs="Arial"/>
        </w:rPr>
      </w:pPr>
    </w:p>
    <w:p w:rsidR="00775230" w:rsidRDefault="00775230" w:rsidP="00775230"/>
    <w:p w:rsidR="00775230" w:rsidRDefault="00775230" w:rsidP="00C96ACB">
      <w:pPr>
        <w:rPr>
          <w:b/>
          <w:sz w:val="28"/>
        </w:rPr>
      </w:pPr>
    </w:p>
    <w:p w:rsidR="00775230" w:rsidRPr="00C96ACB" w:rsidRDefault="00775230" w:rsidP="00C96ACB">
      <w:pPr>
        <w:rPr>
          <w:b/>
          <w:sz w:val="28"/>
        </w:rPr>
      </w:pPr>
    </w:p>
    <w:p w:rsidR="00C96ACB" w:rsidRDefault="00C96ACB" w:rsidP="00C96ACB"/>
    <w:p w:rsidR="00FC57F3" w:rsidRDefault="00FC57F3">
      <w:pPr>
        <w:rPr>
          <w:rFonts w:ascii="Arial" w:hAnsi="Arial" w:cs="Arial"/>
          <w:b/>
          <w:sz w:val="36"/>
          <w:szCs w:val="36"/>
        </w:rPr>
      </w:pPr>
    </w:p>
    <w:sectPr w:rsidR="00FC57F3" w:rsidSect="000E190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0D" w:rsidRDefault="000E190D" w:rsidP="000E190D">
      <w:pPr>
        <w:spacing w:after="0" w:line="240" w:lineRule="auto"/>
      </w:pPr>
      <w:r>
        <w:separator/>
      </w:r>
    </w:p>
  </w:endnote>
  <w:endnote w:type="continuationSeparator" w:id="0">
    <w:p w:rsidR="000E190D" w:rsidRDefault="000E190D" w:rsidP="000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0D" w:rsidRDefault="000E190D" w:rsidP="000E190D">
      <w:pPr>
        <w:spacing w:after="0" w:line="240" w:lineRule="auto"/>
      </w:pPr>
      <w:r>
        <w:separator/>
      </w:r>
    </w:p>
  </w:footnote>
  <w:footnote w:type="continuationSeparator" w:id="0">
    <w:p w:rsidR="000E190D" w:rsidRDefault="000E190D" w:rsidP="000E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0D" w:rsidRDefault="000E190D" w:rsidP="000E190D">
    <w:pPr>
      <w:pStyle w:val="Header"/>
      <w:tabs>
        <w:tab w:val="clear" w:pos="4513"/>
      </w:tabs>
    </w:pPr>
    <w:r>
      <w:rPr>
        <w:rFonts w:ascii="Calibri" w:hAnsi="Calibri"/>
        <w:noProof/>
        <w:lang w:eastAsia="en-GB"/>
      </w:rPr>
      <w:drawing>
        <wp:anchor distT="0" distB="0" distL="114300" distR="114300" simplePos="0" relativeHeight="251659264" behindDoc="1" locked="0" layoutInCell="1" allowOverlap="1" wp14:anchorId="4F378268" wp14:editId="1F92A115">
          <wp:simplePos x="0" y="0"/>
          <wp:positionH relativeFrom="column">
            <wp:posOffset>3867150</wp:posOffset>
          </wp:positionH>
          <wp:positionV relativeFrom="paragraph">
            <wp:posOffset>-220980</wp:posOffset>
          </wp:positionV>
          <wp:extent cx="3028950" cy="469265"/>
          <wp:effectExtent l="0" t="0" r="0" b="6985"/>
          <wp:wrapTight wrapText="bothSides">
            <wp:wrapPolygon edited="0">
              <wp:start x="0" y="0"/>
              <wp:lineTo x="0" y="21045"/>
              <wp:lineTo x="21464" y="21045"/>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8950" cy="469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E190D" w:rsidRDefault="000E1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CC7"/>
    <w:multiLevelType w:val="hybridMultilevel"/>
    <w:tmpl w:val="1F6E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A7014"/>
    <w:multiLevelType w:val="hybridMultilevel"/>
    <w:tmpl w:val="D89C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D0699"/>
    <w:multiLevelType w:val="hybridMultilevel"/>
    <w:tmpl w:val="347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50BCD"/>
    <w:multiLevelType w:val="hybridMultilevel"/>
    <w:tmpl w:val="99B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5318F3"/>
    <w:multiLevelType w:val="hybridMultilevel"/>
    <w:tmpl w:val="98C8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0D2124"/>
    <w:multiLevelType w:val="hybridMultilevel"/>
    <w:tmpl w:val="4538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2A7E44"/>
    <w:multiLevelType w:val="hybridMultilevel"/>
    <w:tmpl w:val="2DB2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B472C4"/>
    <w:multiLevelType w:val="hybridMultilevel"/>
    <w:tmpl w:val="EF86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BF5F9E"/>
    <w:multiLevelType w:val="hybridMultilevel"/>
    <w:tmpl w:val="CCE05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8B5821"/>
    <w:multiLevelType w:val="hybridMultilevel"/>
    <w:tmpl w:val="5868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9F7E5A"/>
    <w:multiLevelType w:val="hybridMultilevel"/>
    <w:tmpl w:val="E77E5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B7969E7"/>
    <w:multiLevelType w:val="hybridMultilevel"/>
    <w:tmpl w:val="F1C23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A21419"/>
    <w:multiLevelType w:val="hybridMultilevel"/>
    <w:tmpl w:val="DAF0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353B57"/>
    <w:multiLevelType w:val="hybridMultilevel"/>
    <w:tmpl w:val="CC7AF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D07347"/>
    <w:multiLevelType w:val="hybridMultilevel"/>
    <w:tmpl w:val="BF7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700699"/>
    <w:multiLevelType w:val="hybridMultilevel"/>
    <w:tmpl w:val="17FA3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2D4481"/>
    <w:multiLevelType w:val="hybridMultilevel"/>
    <w:tmpl w:val="AA0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1734C8"/>
    <w:multiLevelType w:val="hybridMultilevel"/>
    <w:tmpl w:val="2C28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8041B3"/>
    <w:multiLevelType w:val="hybridMultilevel"/>
    <w:tmpl w:val="1986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222016"/>
    <w:multiLevelType w:val="hybridMultilevel"/>
    <w:tmpl w:val="67B6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494FE8"/>
    <w:multiLevelType w:val="hybridMultilevel"/>
    <w:tmpl w:val="391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EC5404"/>
    <w:multiLevelType w:val="hybridMultilevel"/>
    <w:tmpl w:val="605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0E5C5C"/>
    <w:multiLevelType w:val="hybridMultilevel"/>
    <w:tmpl w:val="C2FA9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406555B"/>
    <w:multiLevelType w:val="hybridMultilevel"/>
    <w:tmpl w:val="96A8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B87F3C"/>
    <w:multiLevelType w:val="hybridMultilevel"/>
    <w:tmpl w:val="E1A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9F5694"/>
    <w:multiLevelType w:val="hybridMultilevel"/>
    <w:tmpl w:val="5E9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0"/>
  </w:num>
  <w:num w:numId="4">
    <w:abstractNumId w:val="23"/>
  </w:num>
  <w:num w:numId="5">
    <w:abstractNumId w:val="8"/>
  </w:num>
  <w:num w:numId="6">
    <w:abstractNumId w:val="12"/>
  </w:num>
  <w:num w:numId="7">
    <w:abstractNumId w:val="25"/>
  </w:num>
  <w:num w:numId="8">
    <w:abstractNumId w:val="15"/>
  </w:num>
  <w:num w:numId="9">
    <w:abstractNumId w:val="16"/>
  </w:num>
  <w:num w:numId="10">
    <w:abstractNumId w:val="1"/>
  </w:num>
  <w:num w:numId="11">
    <w:abstractNumId w:val="18"/>
  </w:num>
  <w:num w:numId="12">
    <w:abstractNumId w:val="11"/>
  </w:num>
  <w:num w:numId="13">
    <w:abstractNumId w:val="21"/>
  </w:num>
  <w:num w:numId="14">
    <w:abstractNumId w:val="5"/>
  </w:num>
  <w:num w:numId="15">
    <w:abstractNumId w:val="19"/>
  </w:num>
  <w:num w:numId="16">
    <w:abstractNumId w:val="14"/>
  </w:num>
  <w:num w:numId="17">
    <w:abstractNumId w:val="10"/>
  </w:num>
  <w:num w:numId="18">
    <w:abstractNumId w:val="13"/>
  </w:num>
  <w:num w:numId="19">
    <w:abstractNumId w:val="17"/>
  </w:num>
  <w:num w:numId="20">
    <w:abstractNumId w:val="9"/>
  </w:num>
  <w:num w:numId="21">
    <w:abstractNumId w:val="24"/>
  </w:num>
  <w:num w:numId="22">
    <w:abstractNumId w:val="3"/>
  </w:num>
  <w:num w:numId="23">
    <w:abstractNumId w:val="22"/>
  </w:num>
  <w:num w:numId="24">
    <w:abstractNumId w:val="4"/>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F3"/>
    <w:rsid w:val="00024AB1"/>
    <w:rsid w:val="00070190"/>
    <w:rsid w:val="000E163D"/>
    <w:rsid w:val="000E190D"/>
    <w:rsid w:val="002D4BEB"/>
    <w:rsid w:val="002E0F2F"/>
    <w:rsid w:val="003261A7"/>
    <w:rsid w:val="00343E20"/>
    <w:rsid w:val="003A49E3"/>
    <w:rsid w:val="003F3950"/>
    <w:rsid w:val="00514E2B"/>
    <w:rsid w:val="00775230"/>
    <w:rsid w:val="008347E8"/>
    <w:rsid w:val="00841BF2"/>
    <w:rsid w:val="00977D6F"/>
    <w:rsid w:val="009B573F"/>
    <w:rsid w:val="00A66BD8"/>
    <w:rsid w:val="00A74BA3"/>
    <w:rsid w:val="00AB44E5"/>
    <w:rsid w:val="00C96ACB"/>
    <w:rsid w:val="00D1568D"/>
    <w:rsid w:val="00DC514B"/>
    <w:rsid w:val="00E44E72"/>
    <w:rsid w:val="00EB0A2E"/>
    <w:rsid w:val="00F22E65"/>
    <w:rsid w:val="00F26B6E"/>
    <w:rsid w:val="00F61146"/>
    <w:rsid w:val="00FC57F3"/>
    <w:rsid w:val="00FD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 w:type="paragraph" w:styleId="PlainText">
    <w:name w:val="Plain Text"/>
    <w:basedOn w:val="Normal"/>
    <w:link w:val="PlainTextChar"/>
    <w:uiPriority w:val="99"/>
    <w:unhideWhenUsed/>
    <w:rsid w:val="007752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523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 w:type="paragraph" w:styleId="PlainText">
    <w:name w:val="Plain Text"/>
    <w:basedOn w:val="Normal"/>
    <w:link w:val="PlainTextChar"/>
    <w:uiPriority w:val="99"/>
    <w:unhideWhenUsed/>
    <w:rsid w:val="007752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523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6983">
      <w:bodyDiv w:val="1"/>
      <w:marLeft w:val="0"/>
      <w:marRight w:val="0"/>
      <w:marTop w:val="0"/>
      <w:marBottom w:val="0"/>
      <w:divBdr>
        <w:top w:val="none" w:sz="0" w:space="0" w:color="auto"/>
        <w:left w:val="none" w:sz="0" w:space="0" w:color="auto"/>
        <w:bottom w:val="none" w:sz="0" w:space="0" w:color="auto"/>
        <w:right w:val="none" w:sz="0" w:space="0" w:color="auto"/>
      </w:divBdr>
      <w:divsChild>
        <w:div w:id="1991251206">
          <w:marLeft w:val="0"/>
          <w:marRight w:val="0"/>
          <w:marTop w:val="0"/>
          <w:marBottom w:val="0"/>
          <w:divBdr>
            <w:top w:val="none" w:sz="0" w:space="0" w:color="auto"/>
            <w:left w:val="none" w:sz="0" w:space="0" w:color="auto"/>
            <w:bottom w:val="none" w:sz="0" w:space="0" w:color="auto"/>
            <w:right w:val="none" w:sz="0" w:space="0" w:color="auto"/>
          </w:divBdr>
          <w:divsChild>
            <w:div w:id="1070739379">
              <w:marLeft w:val="45"/>
              <w:marRight w:val="0"/>
              <w:marTop w:val="0"/>
              <w:marBottom w:val="0"/>
              <w:divBdr>
                <w:top w:val="none" w:sz="0" w:space="0" w:color="auto"/>
                <w:left w:val="none" w:sz="0" w:space="0" w:color="auto"/>
                <w:bottom w:val="none" w:sz="0" w:space="0" w:color="auto"/>
                <w:right w:val="none" w:sz="0" w:space="0" w:color="auto"/>
              </w:divBdr>
              <w:divsChild>
                <w:div w:id="13298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68890">
      <w:bodyDiv w:val="1"/>
      <w:marLeft w:val="0"/>
      <w:marRight w:val="0"/>
      <w:marTop w:val="0"/>
      <w:marBottom w:val="0"/>
      <w:divBdr>
        <w:top w:val="none" w:sz="0" w:space="0" w:color="auto"/>
        <w:left w:val="none" w:sz="0" w:space="0" w:color="auto"/>
        <w:bottom w:val="none" w:sz="0" w:space="0" w:color="auto"/>
        <w:right w:val="none" w:sz="0" w:space="0" w:color="auto"/>
      </w:divBdr>
      <w:divsChild>
        <w:div w:id="1519854885">
          <w:marLeft w:val="0"/>
          <w:marRight w:val="0"/>
          <w:marTop w:val="0"/>
          <w:marBottom w:val="0"/>
          <w:divBdr>
            <w:top w:val="none" w:sz="0" w:space="0" w:color="auto"/>
            <w:left w:val="none" w:sz="0" w:space="0" w:color="auto"/>
            <w:bottom w:val="none" w:sz="0" w:space="0" w:color="auto"/>
            <w:right w:val="none" w:sz="0" w:space="0" w:color="auto"/>
          </w:divBdr>
          <w:divsChild>
            <w:div w:id="1251696545">
              <w:marLeft w:val="45"/>
              <w:marRight w:val="0"/>
              <w:marTop w:val="0"/>
              <w:marBottom w:val="0"/>
              <w:divBdr>
                <w:top w:val="none" w:sz="0" w:space="0" w:color="auto"/>
                <w:left w:val="none" w:sz="0" w:space="0" w:color="auto"/>
                <w:bottom w:val="none" w:sz="0" w:space="0" w:color="auto"/>
                <w:right w:val="none" w:sz="0" w:space="0" w:color="auto"/>
              </w:divBdr>
              <w:divsChild>
                <w:div w:id="6569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3361">
      <w:bodyDiv w:val="1"/>
      <w:marLeft w:val="0"/>
      <w:marRight w:val="0"/>
      <w:marTop w:val="0"/>
      <w:marBottom w:val="0"/>
      <w:divBdr>
        <w:top w:val="none" w:sz="0" w:space="0" w:color="auto"/>
        <w:left w:val="none" w:sz="0" w:space="0" w:color="auto"/>
        <w:bottom w:val="none" w:sz="0" w:space="0" w:color="auto"/>
        <w:right w:val="none" w:sz="0" w:space="0" w:color="auto"/>
      </w:divBdr>
    </w:div>
    <w:div w:id="15984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diatryreferrals@swft.nhs.uk" TargetMode="External"/><Relationship Id="rId4" Type="http://schemas.microsoft.com/office/2007/relationships/stylesWithEffects" Target="stylesWithEffects.xml"/><Relationship Id="rId9" Type="http://schemas.openxmlformats.org/officeDocument/2006/relationships/hyperlink" Target="https://www.swft.nhs.uk/our-services/podiatr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EB2491-8AD4-4D3E-9161-47B649B1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swblacem</dc:creator>
  <cp:lastModifiedBy>Bollu Manjari (RYG) C&amp;W PARTNERSHIP TRUST</cp:lastModifiedBy>
  <cp:revision>2</cp:revision>
  <cp:lastPrinted>2015-09-09T14:21:00Z</cp:lastPrinted>
  <dcterms:created xsi:type="dcterms:W3CDTF">2016-02-08T22:07:00Z</dcterms:created>
  <dcterms:modified xsi:type="dcterms:W3CDTF">2016-02-08T22:07:00Z</dcterms:modified>
</cp:coreProperties>
</file>