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01"/>
      </w:tblGrid>
      <w:tr w:rsidR="00ED63E3" w14:paraId="54A721DA" w14:textId="77777777" w:rsidTr="00982FD2">
        <w:tc>
          <w:tcPr>
            <w:tcW w:w="223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70FB13FF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Consent Given*: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3B1525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2ACA9A50" w14:textId="77777777" w:rsidR="00ED63E3" w:rsidRDefault="00ED63E3" w:rsidP="00ED63E3">
      <w:pPr>
        <w:autoSpaceDE w:val="0"/>
        <w:autoSpaceDN w:val="0"/>
        <w:adjustRightInd w:val="0"/>
        <w:ind w:right="782"/>
        <w:rPr>
          <w:rFonts w:ascii="Arial" w:hAnsi="Arial" w:cs="Arial"/>
          <w:sz w:val="20"/>
          <w:szCs w:val="20"/>
        </w:rPr>
      </w:pPr>
    </w:p>
    <w:tbl>
      <w:tblPr>
        <w:tblW w:w="9322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984"/>
        <w:gridCol w:w="2268"/>
        <w:gridCol w:w="2268"/>
      </w:tblGrid>
      <w:tr w:rsidR="00ED63E3" w14:paraId="7EDFA105" w14:textId="77777777" w:rsidTr="00982FD2"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398EBB0A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Details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33AA4F84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E6E6E6"/>
          </w:tcPr>
          <w:p w14:paraId="27B94F79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Referrer Details</w:t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0B2AAA9B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63E3" w14:paraId="67C221B8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64313D2B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047A4E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56D4DA73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Referring GP: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ECD5EFF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3E3" w14:paraId="366F96DE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1D947BD1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5ED0F3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2482D3D2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Usual GP: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A04D516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3E3" w14:paraId="57288C10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71FB8F5F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AB82FB6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670B513A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837FE6E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3E3" w14:paraId="6ED1DB6F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4992344D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ED5CCC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150DA407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75A5092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3E3" w14:paraId="101415D6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03DC2ED5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FD5E72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031D16AE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DFBCDD5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3E3" w14:paraId="11B48074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6D9678B9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A24413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2C1A51EA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Referral Date: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C53CA7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3E3" w14:paraId="67C9745E" w14:textId="77777777" w:rsidTr="00982FD2">
        <w:tblPrEx>
          <w:tblBorders>
            <w:top w:val="none" w:sz="0" w:space="0" w:color="auto"/>
          </w:tblBorders>
        </w:tblPrEx>
        <w:tc>
          <w:tcPr>
            <w:tcW w:w="2802" w:type="dxa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54B094F1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NHS Number:</w:t>
            </w:r>
          </w:p>
        </w:tc>
        <w:tc>
          <w:tcPr>
            <w:tcW w:w="198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4EC13D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vAlign w:val="center"/>
          </w:tcPr>
          <w:p w14:paraId="0957F2EB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Interpreter Required: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0EC5DD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D63E3" w14:paraId="70BD028B" w14:textId="77777777" w:rsidTr="00982FD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02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3682261F" w14:textId="77777777" w:rsidR="00ED63E3" w:rsidRDefault="00ED63E3" w:rsidP="00982F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FD4349" w14:textId="77777777" w:rsidR="00ED63E3" w:rsidRDefault="00ED63E3" w:rsidP="00982F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440B210F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Preferred Language*: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A00189C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E1781AA" w14:textId="77777777" w:rsidR="00ED63E3" w:rsidRDefault="00ED63E3" w:rsidP="00ED63E3">
      <w:pPr>
        <w:autoSpaceDE w:val="0"/>
        <w:autoSpaceDN w:val="0"/>
        <w:adjustRightInd w:val="0"/>
        <w:ind w:right="782"/>
        <w:rPr>
          <w:rFonts w:ascii="Arial" w:hAnsi="Arial" w:cs="Arial"/>
          <w:sz w:val="20"/>
          <w:szCs w:val="20"/>
        </w:rPr>
      </w:pPr>
    </w:p>
    <w:tbl>
      <w:tblPr>
        <w:tblW w:w="9322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1707"/>
        <w:gridCol w:w="425"/>
        <w:gridCol w:w="1560"/>
        <w:gridCol w:w="283"/>
        <w:gridCol w:w="143"/>
        <w:gridCol w:w="3118"/>
      </w:tblGrid>
      <w:tr w:rsidR="00ED63E3" w14:paraId="47BFE25E" w14:textId="77777777" w:rsidTr="00982FD2">
        <w:tc>
          <w:tcPr>
            <w:tcW w:w="208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06D61148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Speciality*:</w:t>
            </w: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D61A550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  <w:vAlign w:val="center"/>
          </w:tcPr>
          <w:p w14:paraId="060FC3B6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Clinic*:</w:t>
            </w:r>
          </w:p>
        </w:tc>
        <w:tc>
          <w:tcPr>
            <w:tcW w:w="326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D3C1D5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63E3" w14:paraId="1D9C5DD9" w14:textId="77777777" w:rsidTr="00982FD2">
        <w:trPr>
          <w:trHeight w:val="339"/>
        </w:trPr>
        <w:tc>
          <w:tcPr>
            <w:tcW w:w="208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275C0FC2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Referral Status*:</w:t>
            </w:r>
          </w:p>
        </w:tc>
        <w:tc>
          <w:tcPr>
            <w:tcW w:w="1707" w:type="dxa"/>
            <w:tcBorders>
              <w:top w:val="single" w:sz="4" w:space="0" w:color="BFBFBF"/>
              <w:bottom w:val="single" w:sz="4" w:space="0" w:color="BFBFBF"/>
              <w:right w:val="single" w:sz="4" w:space="0" w:color="000000" w:themeColor="text1"/>
            </w:tcBorders>
          </w:tcPr>
          <w:p w14:paraId="11D556A1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Routine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9071A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18423528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Urgent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E08A9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329F2006" w14:textId="77777777" w:rsidR="00ED63E3" w:rsidRDefault="00ED63E3" w:rsidP="00982FD2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Intended Place of Referral*: ACUTE</w:t>
            </w:r>
          </w:p>
        </w:tc>
      </w:tr>
    </w:tbl>
    <w:p w14:paraId="4D19C55E" w14:textId="7274F158" w:rsidR="00FF22D9" w:rsidRDefault="00CE4D08"/>
    <w:tbl>
      <w:tblPr>
        <w:tblW w:w="9039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B87287" w14:paraId="7E033469" w14:textId="77777777">
        <w:tc>
          <w:tcPr>
            <w:tcW w:w="903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E5B8B7"/>
            <w:tcMar>
              <w:top w:w="100" w:type="nil"/>
              <w:right w:w="100" w:type="nil"/>
            </w:tcMar>
          </w:tcPr>
          <w:p w14:paraId="248784ED" w14:textId="4ED2536B" w:rsidR="00B87287" w:rsidRDefault="00CE4D08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GROMMETS / MYRINGOTOMY FOR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ADULTS</w:t>
            </w:r>
          </w:p>
        </w:tc>
      </w:tr>
      <w:tr w:rsidR="00B87287" w14:paraId="676B238D" w14:textId="77777777">
        <w:tblPrEx>
          <w:tblBorders>
            <w:top w:val="none" w:sz="0" w:space="0" w:color="auto"/>
          </w:tblBorders>
        </w:tblPrEx>
        <w:tc>
          <w:tcPr>
            <w:tcW w:w="9039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BFEA8D0" w14:textId="77777777" w:rsidR="00B87287" w:rsidRDefault="00B87287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sz w:val="20"/>
                <w:szCs w:val="20"/>
              </w:rPr>
            </w:pPr>
          </w:p>
          <w:p w14:paraId="539F1964" w14:textId="52495DCF" w:rsidR="00B87287" w:rsidRDefault="00B87287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Eligibility Criteria</w:t>
            </w:r>
          </w:p>
          <w:p w14:paraId="23D46AE5" w14:textId="77777777" w:rsidR="001D4B4A" w:rsidRDefault="001D4B4A" w:rsidP="001D4B4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Surgical treatment for adults to be supported subject to policy criteria.</w:t>
            </w:r>
          </w:p>
          <w:p w14:paraId="27159D99" w14:textId="77777777" w:rsidR="001D4B4A" w:rsidRDefault="001D4B4A" w:rsidP="001D4B4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34BB839" w14:textId="77777777" w:rsidR="001D4B4A" w:rsidRPr="009B5B6C" w:rsidRDefault="001D4B4A" w:rsidP="001D4B4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Myringotomy With/Without Grommets for Otitis Media will ONLY be funded for adults meeting at least one of 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criteria outlined in section 1 below: </w:t>
            </w:r>
          </w:p>
          <w:p w14:paraId="63A09DD9" w14:textId="77777777" w:rsidR="001D4B4A" w:rsidRDefault="001D4B4A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8BA2005" w14:textId="4A62FB24" w:rsidR="00B87287" w:rsidRDefault="00B87287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7287" w14:paraId="6BC9D408" w14:textId="77777777">
        <w:tblPrEx>
          <w:tblBorders>
            <w:top w:val="none" w:sz="0" w:space="0" w:color="auto"/>
          </w:tblBorders>
        </w:tblPrEx>
        <w:tc>
          <w:tcPr>
            <w:tcW w:w="903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E5B8B7"/>
            <w:tcMar>
              <w:top w:w="100" w:type="nil"/>
              <w:right w:w="100" w:type="nil"/>
            </w:tcMar>
          </w:tcPr>
          <w:p w14:paraId="143FB9DB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Referral Criteria (Please select):</w:t>
            </w:r>
          </w:p>
        </w:tc>
      </w:tr>
      <w:tr w:rsidR="001D4B4A" w14:paraId="49FC82C9" w14:textId="77777777" w:rsidTr="00096FE5">
        <w:tblPrEx>
          <w:tblBorders>
            <w:top w:val="none" w:sz="0" w:space="0" w:color="auto"/>
          </w:tblBorders>
        </w:tblPrEx>
        <w:tc>
          <w:tcPr>
            <w:tcW w:w="9039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2157580" w14:textId="77777777" w:rsidR="001D4B4A" w:rsidRPr="009B5B6C" w:rsidRDefault="001D4B4A" w:rsidP="001D4B4A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1. </w:t>
            </w:r>
            <w:r w:rsidRPr="009B5B6C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Please confirm that the patient meets the criteria in </w:t>
            </w:r>
            <w:r w:rsidRPr="009B5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ONE</w:t>
            </w:r>
            <w:r w:rsidRPr="009B5B6C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of the following sections:</w:t>
            </w:r>
          </w:p>
          <w:p w14:paraId="6C49AB34" w14:textId="77777777" w:rsidR="001D4B4A" w:rsidRPr="009B5B6C" w:rsidRDefault="001D4B4A" w:rsidP="001D4B4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92848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 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patient </w:t>
            </w:r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has had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</w:t>
            </w: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ersistent hearing loss for at least 3 months with hearing levels of 25dB or worse on pure tone audiometry</w:t>
            </w:r>
          </w:p>
          <w:p w14:paraId="6139E5D2" w14:textId="77777777" w:rsidR="001D4B4A" w:rsidRPr="009B5B6C" w:rsidRDefault="001D4B4A" w:rsidP="001D4B4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OR</w:t>
            </w:r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053293EA" w14:textId="77777777" w:rsidR="001D4B4A" w:rsidRPr="009B5B6C" w:rsidRDefault="001D4B4A" w:rsidP="001D4B4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20343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The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patient </w:t>
            </w:r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</w:t>
            </w: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ecurrent acute otitis media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of </w:t>
            </w: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5 or more episodes in the preceding </w:t>
            </w:r>
            <w:proofErr w:type="gramStart"/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 month</w:t>
            </w:r>
            <w:proofErr w:type="gramEnd"/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period</w:t>
            </w:r>
          </w:p>
          <w:p w14:paraId="00613DB2" w14:textId="77777777" w:rsidR="001D4B4A" w:rsidRPr="005047ED" w:rsidRDefault="001D4B4A" w:rsidP="001D4B4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OR</w:t>
            </w:r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2D88864B" w14:textId="77777777" w:rsidR="001D4B4A" w:rsidRPr="009B5B6C" w:rsidRDefault="001D4B4A" w:rsidP="001D4B4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152921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 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patient </w:t>
            </w:r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 e</w:t>
            </w: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ustachian tube dysfunction causing pain</w:t>
            </w:r>
          </w:p>
          <w:p w14:paraId="6994C0AA" w14:textId="77777777" w:rsidR="001D4B4A" w:rsidRPr="009B5B6C" w:rsidRDefault="001D4B4A" w:rsidP="001D4B4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OR</w:t>
            </w:r>
          </w:p>
          <w:p w14:paraId="0AB024AF" w14:textId="77777777" w:rsidR="001D4B4A" w:rsidRDefault="001D4B4A" w:rsidP="001D4B4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185106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 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patient </w:t>
            </w:r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</w:t>
            </w: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telectasis of the tympanic membrane where development of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cholesteatoma or erosion of the ossicles is a risk </w:t>
            </w:r>
          </w:p>
          <w:p w14:paraId="227C08C5" w14:textId="77777777" w:rsidR="001D4B4A" w:rsidRPr="009B5B6C" w:rsidRDefault="001D4B4A" w:rsidP="001D4B4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OR</w:t>
            </w:r>
          </w:p>
          <w:p w14:paraId="0B693414" w14:textId="77777777" w:rsidR="001D4B4A" w:rsidRPr="009B5B6C" w:rsidRDefault="001D4B4A" w:rsidP="001D4B4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1373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 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procedure will act a</w:t>
            </w: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 a conduit for drug delivery direct to the middle ear </w:t>
            </w:r>
          </w:p>
          <w:p w14:paraId="5DFF93D1" w14:textId="77777777" w:rsidR="001D4B4A" w:rsidRPr="009B5B6C" w:rsidRDefault="001D4B4A" w:rsidP="001D4B4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OR</w:t>
            </w:r>
          </w:p>
          <w:p w14:paraId="30D6ADBE" w14:textId="77777777" w:rsidR="001D4B4A" w:rsidRDefault="001D4B4A" w:rsidP="001D4B4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156883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the case of conditions</w:t>
            </w: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proofErr w:type="gramStart"/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proofErr w:type="gramEnd"/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nasopharyngeal carcinoma, ethmoidal cancer, maxillectomy, olfactory neuroblastoma, </w:t>
            </w:r>
            <w:proofErr w:type="spellStart"/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sinonasal</w:t>
            </w:r>
            <w:proofErr w:type="spellEnd"/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cancer and complications relating to its treatment (including radiotherapy))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judged, by the responsible clinician, that the benefit of treatment outweigh the risk/s</w:t>
            </w:r>
          </w:p>
          <w:p w14:paraId="36D40C52" w14:textId="77777777" w:rsidR="001D4B4A" w:rsidRPr="009B5B6C" w:rsidRDefault="001D4B4A" w:rsidP="001D4B4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B5B6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OR</w:t>
            </w:r>
          </w:p>
          <w:p w14:paraId="5389011C" w14:textId="7FE96566" w:rsidR="001D4B4A" w:rsidRDefault="001D4B4A" w:rsidP="001D4B4A">
            <w:pPr>
              <w:autoSpaceDE w:val="0"/>
              <w:autoSpaceDN w:val="0"/>
              <w:adjustRightInd w:val="0"/>
              <w:spacing w:before="8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829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B6C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9B5B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 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procedure is p</w:t>
            </w: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art of a more extensive procedure at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</w:t>
            </w: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onsultant’s discretion, such as </w:t>
            </w:r>
            <w:r w:rsidRPr="005047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tympanoplasty, acute otitis media with facial palsy</w:t>
            </w:r>
          </w:p>
        </w:tc>
      </w:tr>
      <w:tr w:rsidR="001D4B4A" w14:paraId="13E1B27E" w14:textId="77777777">
        <w:tblPrEx>
          <w:tblBorders>
            <w:top w:val="none" w:sz="0" w:space="0" w:color="auto"/>
          </w:tblBorders>
        </w:tblPrEx>
        <w:tc>
          <w:tcPr>
            <w:tcW w:w="9039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7323D45" w14:textId="77777777" w:rsidR="001D4B4A" w:rsidRDefault="001D4B4A" w:rsidP="001D4B4A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 CONSENT FOR REFERRAL</w:t>
            </w:r>
          </w:p>
          <w:p w14:paraId="5D65819E" w14:textId="1FA0D609" w:rsidR="001D4B4A" w:rsidRDefault="001D4B4A" w:rsidP="001D4B4A">
            <w:pPr>
              <w:autoSpaceDE w:val="0"/>
              <w:autoSpaceDN w:val="0"/>
              <w:adjustRightInd w:val="0"/>
              <w:spacing w:before="8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confirm that the patient (or responsible carer) consented to specialist referral:</w:t>
            </w:r>
          </w:p>
          <w:p w14:paraId="1A2A667D" w14:textId="77777777" w:rsidR="001D4B4A" w:rsidRDefault="001D4B4A" w:rsidP="001D4B4A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b/>
                <w:bCs/>
                <w:color w:val="FF0000"/>
                <w:sz w:val="2"/>
                <w:szCs w:val="2"/>
              </w:rPr>
            </w:pPr>
          </w:p>
          <w:p w14:paraId="67AA85F3" w14:textId="77777777" w:rsidR="001D4B4A" w:rsidRDefault="001D4B4A" w:rsidP="001D4B4A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</w:tc>
      </w:tr>
      <w:tr w:rsidR="001D4B4A" w14:paraId="43AF7D1A" w14:textId="77777777">
        <w:tblPrEx>
          <w:tblBorders>
            <w:top w:val="none" w:sz="0" w:space="0" w:color="auto"/>
          </w:tblBorders>
        </w:tblPrEx>
        <w:tc>
          <w:tcPr>
            <w:tcW w:w="9039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4893EE0" w14:textId="77777777" w:rsidR="001D4B4A" w:rsidRDefault="001D4B4A" w:rsidP="001D4B4A">
            <w:pPr>
              <w:autoSpaceDE w:val="0"/>
              <w:autoSpaceDN w:val="0"/>
              <w:adjustRightInd w:val="0"/>
              <w:spacing w:before="8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CLINICIAN DECLARATION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 </w:t>
            </w:r>
            <w:r>
              <w:rPr>
                <w:rFonts w:ascii="Arial" w:hAnsi="Arial" w:cs="Arial"/>
                <w:sz w:val="20"/>
                <w:szCs w:val="20"/>
              </w:rPr>
              <w:t xml:space="preserve"> I personally confirm that the above information is complete and accurately describes the patient's condition</w:t>
            </w:r>
          </w:p>
          <w:p w14:paraId="303DEC92" w14:textId="77777777" w:rsidR="001D4B4A" w:rsidRDefault="001D4B4A" w:rsidP="001D4B4A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A964AB" w14:textId="77777777" w:rsidR="001D4B4A" w:rsidRDefault="001D4B4A" w:rsidP="001D4B4A">
            <w:pPr>
              <w:autoSpaceDE w:val="0"/>
              <w:autoSpaceDN w:val="0"/>
              <w:adjustRightInd w:val="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Note: Treatment should only be undertaken in secondary care if this form is approved.</w:t>
            </w:r>
          </w:p>
          <w:p w14:paraId="4787E6D6" w14:textId="77777777" w:rsidR="001D4B4A" w:rsidRDefault="001D4B4A" w:rsidP="001D4B4A">
            <w:pPr>
              <w:autoSpaceDE w:val="0"/>
              <w:autoSpaceDN w:val="0"/>
              <w:adjustRightInd w:val="0"/>
              <w:ind w:right="782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D4B4A" w14:paraId="657674B9" w14:textId="77777777">
        <w:tblPrEx>
          <w:tblBorders>
            <w:top w:val="none" w:sz="0" w:space="0" w:color="auto"/>
          </w:tblBorders>
        </w:tblPrEx>
        <w:tc>
          <w:tcPr>
            <w:tcW w:w="903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3E5F34B9" w14:textId="77777777" w:rsidR="001D4B4A" w:rsidRDefault="001D4B4A" w:rsidP="001D4B4A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Allergies:</w:t>
            </w:r>
          </w:p>
        </w:tc>
      </w:tr>
      <w:tr w:rsidR="001D4B4A" w14:paraId="29290EB0" w14:textId="77777777">
        <w:tblPrEx>
          <w:tblBorders>
            <w:top w:val="none" w:sz="0" w:space="0" w:color="auto"/>
          </w:tblBorders>
        </w:tblPrEx>
        <w:tc>
          <w:tcPr>
            <w:tcW w:w="9039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C68BD0B" w14:textId="783FE93D" w:rsidR="001D4B4A" w:rsidRDefault="001D4B4A" w:rsidP="001D4B4A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B4A" w14:paraId="59F73F0E" w14:textId="77777777">
        <w:tblPrEx>
          <w:tblBorders>
            <w:top w:val="none" w:sz="0" w:space="0" w:color="auto"/>
          </w:tblBorders>
        </w:tblPrEx>
        <w:tc>
          <w:tcPr>
            <w:tcW w:w="903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2725388D" w14:textId="77777777" w:rsidR="001D4B4A" w:rsidRDefault="001D4B4A" w:rsidP="001D4B4A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Medication:</w:t>
            </w:r>
          </w:p>
        </w:tc>
      </w:tr>
      <w:tr w:rsidR="001D4B4A" w14:paraId="56D723A1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039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D3AE103" w14:textId="46E3BE6C" w:rsidR="001D4B4A" w:rsidRDefault="001D4B4A" w:rsidP="001D4B4A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EB4ED" w14:textId="77777777" w:rsidR="00B87287" w:rsidRDefault="00B87287" w:rsidP="00B87287">
      <w:pPr>
        <w:autoSpaceDE w:val="0"/>
        <w:autoSpaceDN w:val="0"/>
        <w:adjustRightInd w:val="0"/>
        <w:ind w:right="782"/>
        <w:rPr>
          <w:rFonts w:ascii="Arial" w:hAnsi="Arial" w:cs="Arial"/>
          <w:sz w:val="20"/>
          <w:szCs w:val="20"/>
        </w:rPr>
      </w:pPr>
    </w:p>
    <w:tbl>
      <w:tblPr>
        <w:tblW w:w="9039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20"/>
        <w:gridCol w:w="4519"/>
      </w:tblGrid>
      <w:tr w:rsidR="00B87287" w14:paraId="77BB5BF8" w14:textId="77777777">
        <w:tc>
          <w:tcPr>
            <w:tcW w:w="903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5B8B7"/>
            <w:tcMar>
              <w:top w:w="100" w:type="nil"/>
              <w:right w:w="100" w:type="nil"/>
            </w:tcMar>
          </w:tcPr>
          <w:p w14:paraId="15EFAEFC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Relevant Information </w:t>
            </w:r>
          </w:p>
        </w:tc>
        <w:tc>
          <w:tcPr>
            <w:tcW w:w="90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E5B8B7"/>
            <w:tcMar>
              <w:top w:w="100" w:type="nil"/>
              <w:right w:w="100" w:type="nil"/>
            </w:tcMar>
          </w:tcPr>
          <w:p w14:paraId="2718A695" w14:textId="77777777" w:rsidR="00B87287" w:rsidRDefault="00B872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7287" w14:paraId="72D180BB" w14:textId="77777777">
        <w:tblPrEx>
          <w:tblBorders>
            <w:top w:val="none" w:sz="0" w:space="0" w:color="auto"/>
          </w:tblBorders>
        </w:tblPrEx>
        <w:tc>
          <w:tcPr>
            <w:tcW w:w="45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69C441FC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Alcohol:</w:t>
            </w:r>
          </w:p>
        </w:tc>
        <w:tc>
          <w:tcPr>
            <w:tcW w:w="4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29245B5B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BMI:</w:t>
            </w:r>
          </w:p>
        </w:tc>
      </w:tr>
      <w:tr w:rsidR="00B87287" w14:paraId="74BAD8BF" w14:textId="77777777">
        <w:tblPrEx>
          <w:tblBorders>
            <w:top w:val="none" w:sz="0" w:space="0" w:color="auto"/>
          </w:tblBorders>
        </w:tblPrEx>
        <w:tc>
          <w:tcPr>
            <w:tcW w:w="45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447B7E" w14:textId="2A0D196A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04290D3" w14:textId="5394CBBA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287" w14:paraId="7E0271EE" w14:textId="77777777">
        <w:tblPrEx>
          <w:tblBorders>
            <w:top w:val="none" w:sz="0" w:space="0" w:color="auto"/>
          </w:tblBorders>
        </w:tblPrEx>
        <w:tc>
          <w:tcPr>
            <w:tcW w:w="45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3F1A1F62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BP:</w:t>
            </w:r>
          </w:p>
        </w:tc>
        <w:tc>
          <w:tcPr>
            <w:tcW w:w="4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6832C026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Smoking Status:</w:t>
            </w:r>
          </w:p>
        </w:tc>
      </w:tr>
      <w:tr w:rsidR="00B87287" w14:paraId="41A7954F" w14:textId="77777777">
        <w:tblPrEx>
          <w:tblBorders>
            <w:top w:val="none" w:sz="0" w:space="0" w:color="auto"/>
          </w:tblBorders>
        </w:tblPrEx>
        <w:tc>
          <w:tcPr>
            <w:tcW w:w="45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ED9A887" w14:textId="0E587EB5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F2320A1" w14:textId="74019AF3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287" w14:paraId="5547E1A8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5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tcMar>
              <w:top w:w="100" w:type="nil"/>
              <w:right w:w="100" w:type="nil"/>
            </w:tcMar>
          </w:tcPr>
          <w:p w14:paraId="5517C2DA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Sex:</w:t>
            </w:r>
          </w:p>
        </w:tc>
        <w:tc>
          <w:tcPr>
            <w:tcW w:w="4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B9B0628" w14:textId="7CA25B21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1A8BB8E" w14:textId="77777777" w:rsidR="00B87287" w:rsidRDefault="00B87287" w:rsidP="00B87287">
      <w:pPr>
        <w:autoSpaceDE w:val="0"/>
        <w:autoSpaceDN w:val="0"/>
        <w:adjustRightInd w:val="0"/>
        <w:ind w:right="782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W w:w="9073" w:type="dxa"/>
        <w:tblInd w:w="-131" w:type="dxa"/>
        <w:tblBorders>
          <w:top w:val="single" w:sz="18" w:space="0" w:color="BFBFBF"/>
          <w:left w:val="single" w:sz="18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694"/>
      </w:tblGrid>
      <w:tr w:rsidR="00B87287" w14:paraId="6E358072" w14:textId="77777777">
        <w:tc>
          <w:tcPr>
            <w:tcW w:w="6379" w:type="dxa"/>
            <w:tcBorders>
              <w:top w:val="single" w:sz="18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0130020B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For Reviewer use only</w:t>
            </w:r>
          </w:p>
        </w:tc>
        <w:tc>
          <w:tcPr>
            <w:tcW w:w="2694" w:type="dxa"/>
            <w:tcBorders>
              <w:top w:val="single" w:sz="18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29CB101A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87287" w14:paraId="6C88F607" w14:textId="77777777">
        <w:tblPrEx>
          <w:tblBorders>
            <w:top w:val="none" w:sz="0" w:space="0" w:color="auto"/>
          </w:tblBorders>
        </w:tblPrEx>
        <w:tc>
          <w:tcPr>
            <w:tcW w:w="637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8D9A4D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Reviewer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4654806" w14:textId="77777777" w:rsidR="00B87287" w:rsidRDefault="00B87287">
            <w:pPr>
              <w:autoSpaceDE w:val="0"/>
              <w:autoSpaceDN w:val="0"/>
              <w:adjustRightInd w:val="0"/>
              <w:ind w:right="78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287" w14:paraId="278AF545" w14:textId="77777777">
        <w:tblPrEx>
          <w:tblBorders>
            <w:top w:val="none" w:sz="0" w:space="0" w:color="auto"/>
          </w:tblBorders>
        </w:tblPrEx>
        <w:tc>
          <w:tcPr>
            <w:tcW w:w="637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D536174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2CE832B" w14:textId="77777777" w:rsidR="00B87287" w:rsidRDefault="00B87287">
            <w:pPr>
              <w:autoSpaceDE w:val="0"/>
              <w:autoSpaceDN w:val="0"/>
              <w:adjustRightInd w:val="0"/>
              <w:ind w:right="78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287" w14:paraId="07E47ACE" w14:textId="77777777">
        <w:tblPrEx>
          <w:tblBorders>
            <w:top w:val="none" w:sz="0" w:space="0" w:color="auto"/>
          </w:tblBorders>
        </w:tblPrEx>
        <w:tc>
          <w:tcPr>
            <w:tcW w:w="637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F01A15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1.</w:t>
            </w:r>
            <w:r>
              <w:rPr>
                <w:rFonts w:ascii="Arial" w:hAnsi="Arial" w:cs="Arial"/>
                <w:sz w:val="20"/>
                <w:szCs w:val="20"/>
              </w:rPr>
              <w:t xml:space="preserve"> Evidence provided meets the clinical criteria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254C14" w14:textId="77777777" w:rsidR="00B87287" w:rsidRDefault="00B87287">
            <w:pPr>
              <w:autoSpaceDE w:val="0"/>
              <w:autoSpaceDN w:val="0"/>
              <w:adjustRightInd w:val="0"/>
              <w:ind w:right="782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Menlo" w:hAnsi="Menlo" w:cs="Menlo"/>
                <w:sz w:val="20"/>
                <w:szCs w:val="20"/>
              </w:rPr>
              <w:t>☐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Yes  </w:t>
            </w:r>
            <w:r>
              <w:rPr>
                <w:rFonts w:ascii="Menlo" w:hAnsi="Menlo" w:cs="Menlo"/>
                <w:sz w:val="20"/>
                <w:szCs w:val="20"/>
              </w:rPr>
              <w:t>☐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B87287" w14:paraId="3D096C8A" w14:textId="77777777">
        <w:tblPrEx>
          <w:tblBorders>
            <w:top w:val="none" w:sz="0" w:space="0" w:color="auto"/>
          </w:tblBorders>
        </w:tblPrEx>
        <w:tc>
          <w:tcPr>
            <w:tcW w:w="637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347D4A6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2. </w:t>
            </w:r>
            <w:r>
              <w:rPr>
                <w:rFonts w:ascii="Arial" w:hAnsi="Arial" w:cs="Arial"/>
                <w:sz w:val="20"/>
                <w:szCs w:val="20"/>
              </w:rPr>
              <w:t>Evidence provided of consent for referral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5B5DDC3" w14:textId="77777777" w:rsidR="00B87287" w:rsidRDefault="00B87287">
            <w:pPr>
              <w:autoSpaceDE w:val="0"/>
              <w:autoSpaceDN w:val="0"/>
              <w:adjustRightInd w:val="0"/>
              <w:ind w:right="7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enlo" w:hAnsi="Menlo" w:cs="Menlo"/>
                <w:sz w:val="20"/>
                <w:szCs w:val="20"/>
              </w:rPr>
              <w:t>☐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Yes  </w:t>
            </w:r>
            <w:r>
              <w:rPr>
                <w:rFonts w:ascii="Menlo" w:hAnsi="Menlo" w:cs="Menlo"/>
                <w:sz w:val="20"/>
                <w:szCs w:val="20"/>
              </w:rPr>
              <w:t>☐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B87287" w14:paraId="7578739E" w14:textId="77777777">
        <w:tblPrEx>
          <w:tblBorders>
            <w:top w:val="none" w:sz="0" w:space="0" w:color="auto"/>
          </w:tblBorders>
        </w:tblPrEx>
        <w:tc>
          <w:tcPr>
            <w:tcW w:w="637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95B6C9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3.</w:t>
            </w:r>
            <w:r>
              <w:rPr>
                <w:rFonts w:ascii="Arial" w:hAnsi="Arial" w:cs="Arial"/>
                <w:sz w:val="20"/>
                <w:szCs w:val="20"/>
              </w:rPr>
              <w:t xml:space="preserve"> Appropriate sign-off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3920FE3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enlo" w:hAnsi="Menlo" w:cs="Menlo"/>
                <w:sz w:val="20"/>
                <w:szCs w:val="20"/>
              </w:rPr>
              <w:t>☐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Yes  </w:t>
            </w:r>
            <w:r>
              <w:rPr>
                <w:rFonts w:ascii="Menlo" w:hAnsi="Menlo" w:cs="Menlo"/>
                <w:sz w:val="20"/>
                <w:szCs w:val="20"/>
              </w:rPr>
              <w:t>☐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B87287" w14:paraId="32DD3EFE" w14:textId="77777777">
        <w:tblPrEx>
          <w:tblBorders>
            <w:top w:val="none" w:sz="0" w:space="0" w:color="auto"/>
            <w:bottom w:val="single" w:sz="18" w:space="0" w:color="BFBFBF"/>
          </w:tblBorders>
        </w:tblPrEx>
        <w:tc>
          <w:tcPr>
            <w:tcW w:w="6379" w:type="dxa"/>
            <w:tcBorders>
              <w:top w:val="single" w:sz="4" w:space="0" w:color="BFBFBF"/>
              <w:bottom w:val="single" w:sz="1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8F873C7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Full compliance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E7E6B0A" w14:textId="77777777" w:rsidR="00B87287" w:rsidRDefault="00B87287">
            <w:pPr>
              <w:autoSpaceDE w:val="0"/>
              <w:autoSpaceDN w:val="0"/>
              <w:adjustRightInd w:val="0"/>
              <w:spacing w:before="60" w:after="60"/>
              <w:ind w:right="7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enlo" w:hAnsi="Menlo" w:cs="Menlo"/>
                <w:sz w:val="20"/>
                <w:szCs w:val="20"/>
              </w:rPr>
              <w:t>☐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Yes  </w:t>
            </w:r>
            <w:r>
              <w:rPr>
                <w:rFonts w:ascii="Menlo" w:hAnsi="Menlo" w:cs="Menlo"/>
                <w:sz w:val="20"/>
                <w:szCs w:val="20"/>
              </w:rPr>
              <w:t>☐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CC66060" w14:textId="77777777" w:rsidR="00B87287" w:rsidRDefault="00B87287" w:rsidP="00B87287">
      <w:pPr>
        <w:autoSpaceDE w:val="0"/>
        <w:autoSpaceDN w:val="0"/>
        <w:adjustRightInd w:val="0"/>
        <w:ind w:right="782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B5BB455" w14:textId="77777777" w:rsidR="00B87287" w:rsidRDefault="00B87287"/>
    <w:sectPr w:rsidR="00B87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E3"/>
    <w:rsid w:val="001D4B4A"/>
    <w:rsid w:val="00B87287"/>
    <w:rsid w:val="00C6246A"/>
    <w:rsid w:val="00CE4D08"/>
    <w:rsid w:val="00ED63E3"/>
    <w:rsid w:val="00E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EBCD"/>
  <w15:chartTrackingRefBased/>
  <w15:docId w15:val="{3E5F4EB2-AC9C-5E4C-A49A-75BA7A56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3</cp:revision>
  <dcterms:created xsi:type="dcterms:W3CDTF">2022-02-02T17:35:00Z</dcterms:created>
  <dcterms:modified xsi:type="dcterms:W3CDTF">2022-02-02T17:36:00Z</dcterms:modified>
</cp:coreProperties>
</file>