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777A4" w:rsidRDefault="00861E2D">
      <w:pPr>
        <w:spacing w:line="240" w:lineRule="auto"/>
      </w:pPr>
      <w:bookmarkStart w:id="0" w:name="_GoBack"/>
      <w:bookmarkEnd w:id="0"/>
      <w:r>
        <w:rPr>
          <w:b/>
          <w:color w:val="60A842"/>
          <w:sz w:val="36"/>
          <w:szCs w:val="36"/>
          <w:u w:val="single"/>
        </w:rPr>
        <w:t>What is ConnectWELL?</w:t>
      </w:r>
    </w:p>
    <w:p w:rsidR="00413E90" w:rsidRDefault="00861E2D" w:rsidP="00413E90">
      <w:pPr>
        <w:jc w:val="both"/>
      </w:pPr>
      <w:r>
        <w:rPr>
          <w:sz w:val="22"/>
          <w:szCs w:val="22"/>
        </w:rPr>
        <w:t>Welcome to Connect</w:t>
      </w:r>
      <w:r>
        <w:rPr>
          <w:b/>
          <w:sz w:val="22"/>
          <w:szCs w:val="22"/>
        </w:rPr>
        <w:t>WELL</w:t>
      </w:r>
      <w:r>
        <w:rPr>
          <w:sz w:val="22"/>
          <w:szCs w:val="22"/>
        </w:rPr>
        <w:t xml:space="preserve"> - a social prescribing service -</w:t>
      </w:r>
      <w:r w:rsidR="00413E90">
        <w:rPr>
          <w:sz w:val="22"/>
          <w:szCs w:val="22"/>
        </w:rPr>
        <w:t xml:space="preserve"> funded by NHS Rugby CCG, which</w:t>
      </w:r>
      <w:r>
        <w:rPr>
          <w:sz w:val="22"/>
          <w:szCs w:val="22"/>
        </w:rPr>
        <w:t xml:space="preserve"> aims to improve health and wellbeing for patients/clients. Connect</w:t>
      </w:r>
      <w:r>
        <w:rPr>
          <w:b/>
          <w:sz w:val="22"/>
          <w:szCs w:val="22"/>
        </w:rPr>
        <w:t>WELL</w:t>
      </w:r>
      <w:r>
        <w:rPr>
          <w:sz w:val="22"/>
          <w:szCs w:val="22"/>
        </w:rPr>
        <w:t xml:space="preserve"> provides Health Professionals with just one, simple, easy, referral route to the many Voluntary and Community Sector organisations, groups and activities that can address underlying societal causes or manage compounding factors of ill-health.</w:t>
      </w:r>
    </w:p>
    <w:p w:rsidR="00413E90" w:rsidRPr="00413E90" w:rsidRDefault="00413E90" w:rsidP="00413E90">
      <w:pPr>
        <w:spacing w:line="240" w:lineRule="auto"/>
        <w:jc w:val="both"/>
        <w:rPr>
          <w:sz w:val="12"/>
          <w:szCs w:val="12"/>
        </w:rPr>
      </w:pPr>
    </w:p>
    <w:p w:rsidR="00F777A4" w:rsidRDefault="00861E2D" w:rsidP="00413E90">
      <w:pPr>
        <w:spacing w:line="240" w:lineRule="auto"/>
        <w:jc w:val="both"/>
      </w:pPr>
      <w:r>
        <w:rPr>
          <w:sz w:val="22"/>
          <w:szCs w:val="22"/>
        </w:rPr>
        <w:t>Already, Connect</w:t>
      </w:r>
      <w:r>
        <w:rPr>
          <w:b/>
          <w:sz w:val="22"/>
          <w:szCs w:val="22"/>
        </w:rPr>
        <w:t>WELL</w:t>
      </w:r>
      <w:r>
        <w:rPr>
          <w:sz w:val="22"/>
          <w:szCs w:val="22"/>
        </w:rPr>
        <w:t xml:space="preserve"> have identified over 800 organisations and activities in and around Rugby, including: </w:t>
      </w:r>
    </w:p>
    <w:p w:rsidR="00F777A4" w:rsidRDefault="00861E2D">
      <w:pPr>
        <w:spacing w:line="240" w:lineRule="auto"/>
        <w:jc w:val="center"/>
      </w:pPr>
      <w:r>
        <w:rPr>
          <w:b/>
          <w:color w:val="38761D"/>
          <w:sz w:val="22"/>
          <w:szCs w:val="22"/>
        </w:rPr>
        <w:t>Advice and Information Services,</w:t>
      </w:r>
      <w:r>
        <w:rPr>
          <w:color w:val="38761D"/>
          <w:sz w:val="22"/>
          <w:szCs w:val="22"/>
        </w:rPr>
        <w:t xml:space="preserve"> </w:t>
      </w:r>
      <w:r>
        <w:rPr>
          <w:color w:val="59A840"/>
          <w:sz w:val="22"/>
          <w:szCs w:val="22"/>
        </w:rPr>
        <w:t>Arts and Media</w:t>
      </w:r>
      <w:r>
        <w:rPr>
          <w:b/>
          <w:color w:val="6AA84F"/>
          <w:sz w:val="22"/>
          <w:szCs w:val="22"/>
        </w:rPr>
        <w:t>, Befriending</w:t>
      </w:r>
      <w:r>
        <w:rPr>
          <w:b/>
          <w:color w:val="38761D"/>
          <w:sz w:val="22"/>
          <w:szCs w:val="22"/>
        </w:rPr>
        <w:t xml:space="preserve">, </w:t>
      </w:r>
      <w:r>
        <w:rPr>
          <w:color w:val="38761D"/>
          <w:sz w:val="22"/>
          <w:szCs w:val="22"/>
        </w:rPr>
        <w:t xml:space="preserve">Carers’ Support, </w:t>
      </w:r>
      <w:r>
        <w:rPr>
          <w:b/>
          <w:color w:val="59A840"/>
          <w:sz w:val="22"/>
          <w:szCs w:val="22"/>
        </w:rPr>
        <w:t>Community Groups,</w:t>
      </w:r>
      <w:r>
        <w:rPr>
          <w:color w:val="38761D"/>
          <w:sz w:val="22"/>
          <w:szCs w:val="22"/>
        </w:rPr>
        <w:t xml:space="preserve"> </w:t>
      </w:r>
    </w:p>
    <w:p w:rsidR="00F777A4" w:rsidRDefault="00861E2D">
      <w:pPr>
        <w:spacing w:line="240" w:lineRule="auto"/>
        <w:jc w:val="center"/>
      </w:pPr>
      <w:r>
        <w:rPr>
          <w:color w:val="38761D"/>
          <w:sz w:val="22"/>
          <w:szCs w:val="22"/>
        </w:rPr>
        <w:t xml:space="preserve">Counselling and Therapy Services, </w:t>
      </w:r>
      <w:r>
        <w:rPr>
          <w:b/>
          <w:color w:val="59A840"/>
          <w:sz w:val="22"/>
          <w:szCs w:val="22"/>
        </w:rPr>
        <w:t>Day Care Services,</w:t>
      </w:r>
      <w:r>
        <w:rPr>
          <w:b/>
          <w:color w:val="93C47D"/>
          <w:sz w:val="22"/>
          <w:szCs w:val="22"/>
        </w:rPr>
        <w:t xml:space="preserve"> </w:t>
      </w:r>
      <w:r>
        <w:rPr>
          <w:color w:val="38761D"/>
          <w:sz w:val="22"/>
          <w:szCs w:val="22"/>
        </w:rPr>
        <w:t xml:space="preserve">Disability Services, </w:t>
      </w:r>
      <w:r>
        <w:rPr>
          <w:b/>
          <w:color w:val="38761D"/>
          <w:sz w:val="22"/>
          <w:szCs w:val="22"/>
        </w:rPr>
        <w:t>Education and Training Opportunities,</w:t>
      </w:r>
      <w:r>
        <w:rPr>
          <w:b/>
          <w:color w:val="6AA84F"/>
          <w:sz w:val="22"/>
          <w:szCs w:val="22"/>
        </w:rPr>
        <w:t xml:space="preserve"> </w:t>
      </w:r>
    </w:p>
    <w:p w:rsidR="00F777A4" w:rsidRDefault="00861E2D">
      <w:pPr>
        <w:spacing w:line="240" w:lineRule="auto"/>
        <w:jc w:val="center"/>
      </w:pPr>
      <w:r>
        <w:rPr>
          <w:b/>
          <w:color w:val="6AA84F"/>
          <w:sz w:val="22"/>
          <w:szCs w:val="22"/>
        </w:rPr>
        <w:t xml:space="preserve">Employment Support, </w:t>
      </w:r>
      <w:r>
        <w:rPr>
          <w:color w:val="59A840"/>
          <w:sz w:val="22"/>
          <w:szCs w:val="22"/>
        </w:rPr>
        <w:t>Faith / Religious / Cultural Activities,</w:t>
      </w:r>
      <w:r>
        <w:rPr>
          <w:color w:val="38761D"/>
          <w:sz w:val="22"/>
          <w:szCs w:val="22"/>
        </w:rPr>
        <w:t xml:space="preserve"> Family Services, </w:t>
      </w:r>
      <w:r>
        <w:rPr>
          <w:b/>
          <w:color w:val="38761D"/>
          <w:sz w:val="22"/>
          <w:szCs w:val="22"/>
        </w:rPr>
        <w:t>Financial Services</w:t>
      </w:r>
      <w:r>
        <w:rPr>
          <w:color w:val="38761D"/>
          <w:sz w:val="22"/>
          <w:szCs w:val="22"/>
        </w:rPr>
        <w:t xml:space="preserve">, </w:t>
      </w:r>
    </w:p>
    <w:p w:rsidR="00F777A4" w:rsidRDefault="00861E2D">
      <w:pPr>
        <w:spacing w:line="240" w:lineRule="auto"/>
        <w:jc w:val="center"/>
      </w:pPr>
      <w:r>
        <w:rPr>
          <w:b/>
          <w:color w:val="38761D"/>
          <w:sz w:val="22"/>
          <w:szCs w:val="22"/>
        </w:rPr>
        <w:t>Health and Wellbeing,</w:t>
      </w:r>
      <w:r>
        <w:rPr>
          <w:color w:val="38761D"/>
          <w:sz w:val="22"/>
          <w:szCs w:val="22"/>
        </w:rPr>
        <w:t xml:space="preserve"> </w:t>
      </w:r>
      <w:r>
        <w:rPr>
          <w:b/>
          <w:color w:val="38761D"/>
          <w:sz w:val="22"/>
          <w:szCs w:val="22"/>
        </w:rPr>
        <w:t>Housing / Homelessness Support,</w:t>
      </w:r>
      <w:r>
        <w:rPr>
          <w:color w:val="38761D"/>
          <w:sz w:val="22"/>
          <w:szCs w:val="22"/>
        </w:rPr>
        <w:t xml:space="preserve"> </w:t>
      </w:r>
      <w:r>
        <w:rPr>
          <w:color w:val="59A840"/>
          <w:sz w:val="22"/>
          <w:szCs w:val="22"/>
        </w:rPr>
        <w:t>Leisure Activities, Lunch Clubs</w:t>
      </w:r>
      <w:r>
        <w:rPr>
          <w:color w:val="38761D"/>
          <w:sz w:val="22"/>
          <w:szCs w:val="22"/>
        </w:rPr>
        <w:t xml:space="preserve">, </w:t>
      </w:r>
      <w:r>
        <w:rPr>
          <w:b/>
          <w:color w:val="59A840"/>
          <w:sz w:val="22"/>
          <w:szCs w:val="22"/>
        </w:rPr>
        <w:t>Mental Health Support</w:t>
      </w:r>
      <w:r>
        <w:rPr>
          <w:color w:val="59A840"/>
          <w:sz w:val="22"/>
          <w:szCs w:val="22"/>
        </w:rPr>
        <w:t xml:space="preserve">, </w:t>
      </w:r>
    </w:p>
    <w:p w:rsidR="00F777A4" w:rsidRDefault="00861E2D">
      <w:pPr>
        <w:spacing w:line="240" w:lineRule="auto"/>
        <w:jc w:val="center"/>
      </w:pPr>
      <w:r>
        <w:rPr>
          <w:color w:val="59A840"/>
          <w:sz w:val="22"/>
          <w:szCs w:val="22"/>
        </w:rPr>
        <w:t xml:space="preserve">Mentoring, </w:t>
      </w:r>
      <w:r>
        <w:rPr>
          <w:b/>
          <w:color w:val="59A840"/>
          <w:sz w:val="22"/>
          <w:szCs w:val="22"/>
        </w:rPr>
        <w:t>Music Groups</w:t>
      </w:r>
      <w:r>
        <w:rPr>
          <w:color w:val="59A840"/>
          <w:sz w:val="22"/>
          <w:szCs w:val="22"/>
        </w:rPr>
        <w:t xml:space="preserve">, </w:t>
      </w:r>
      <w:r>
        <w:rPr>
          <w:b/>
          <w:color w:val="59A840"/>
          <w:sz w:val="22"/>
          <w:szCs w:val="22"/>
        </w:rPr>
        <w:t>Self Help Groups</w:t>
      </w:r>
      <w:r>
        <w:rPr>
          <w:b/>
          <w:color w:val="6AA84F"/>
          <w:sz w:val="22"/>
          <w:szCs w:val="22"/>
        </w:rPr>
        <w:t xml:space="preserve">, </w:t>
      </w:r>
      <w:r>
        <w:rPr>
          <w:b/>
          <w:color w:val="59A840"/>
          <w:sz w:val="22"/>
          <w:szCs w:val="22"/>
        </w:rPr>
        <w:t>Specialist Interest Groups</w:t>
      </w:r>
      <w:r>
        <w:rPr>
          <w:b/>
          <w:color w:val="6AA84F"/>
          <w:sz w:val="22"/>
          <w:szCs w:val="22"/>
        </w:rPr>
        <w:t xml:space="preserve">, </w:t>
      </w:r>
      <w:r>
        <w:rPr>
          <w:color w:val="38761D"/>
          <w:sz w:val="22"/>
          <w:szCs w:val="22"/>
        </w:rPr>
        <w:t>Social Activities,</w:t>
      </w:r>
      <w:r>
        <w:rPr>
          <w:b/>
          <w:color w:val="38761D"/>
          <w:sz w:val="22"/>
          <w:szCs w:val="22"/>
        </w:rPr>
        <w:t xml:space="preserve"> Sport, </w:t>
      </w:r>
    </w:p>
    <w:p w:rsidR="00F777A4" w:rsidRDefault="00861E2D">
      <w:pPr>
        <w:spacing w:line="240" w:lineRule="auto"/>
        <w:jc w:val="center"/>
      </w:pPr>
      <w:r>
        <w:rPr>
          <w:color w:val="59A840"/>
          <w:sz w:val="22"/>
          <w:szCs w:val="22"/>
        </w:rPr>
        <w:t>Substance Misuse Support,</w:t>
      </w:r>
      <w:r>
        <w:rPr>
          <w:color w:val="38761D"/>
          <w:sz w:val="22"/>
          <w:szCs w:val="22"/>
        </w:rPr>
        <w:t xml:space="preserve"> Volunteering</w:t>
      </w:r>
    </w:p>
    <w:p w:rsidR="00F777A4" w:rsidRDefault="00861E2D">
      <w:pPr>
        <w:jc w:val="both"/>
      </w:pPr>
      <w:r>
        <w:rPr>
          <w:sz w:val="22"/>
          <w:szCs w:val="22"/>
        </w:rPr>
        <w:t>When referring to the Connect</w:t>
      </w:r>
      <w:r>
        <w:rPr>
          <w:b/>
          <w:sz w:val="22"/>
          <w:szCs w:val="22"/>
        </w:rPr>
        <w:t>WELL</w:t>
      </w:r>
      <w:r>
        <w:rPr>
          <w:sz w:val="22"/>
          <w:szCs w:val="22"/>
        </w:rPr>
        <w:t xml:space="preserve">, there are 2 main pathways: </w:t>
      </w:r>
    </w:p>
    <w:p w:rsidR="00F777A4" w:rsidRDefault="00861E2D">
      <w:pPr>
        <w:numPr>
          <w:ilvl w:val="0"/>
          <w:numId w:val="1"/>
        </w:numPr>
        <w:spacing w:before="0" w:after="0"/>
        <w:ind w:hanging="360"/>
        <w:contextualSpacing/>
        <w:jc w:val="both"/>
        <w:rPr>
          <w:sz w:val="22"/>
          <w:szCs w:val="22"/>
        </w:rPr>
      </w:pPr>
      <w:r>
        <w:rPr>
          <w:sz w:val="22"/>
          <w:szCs w:val="22"/>
        </w:rPr>
        <w:t>trained ‘</w:t>
      </w:r>
      <w:r>
        <w:rPr>
          <w:b/>
          <w:sz w:val="22"/>
          <w:szCs w:val="22"/>
        </w:rPr>
        <w:t>Navigators</w:t>
      </w:r>
      <w:r>
        <w:rPr>
          <w:sz w:val="22"/>
          <w:szCs w:val="22"/>
        </w:rPr>
        <w:t>’ actively guide, signpost and support people to identify and access relevant and appropriate services available to them</w:t>
      </w:r>
    </w:p>
    <w:p w:rsidR="00F777A4" w:rsidRDefault="00861E2D">
      <w:pPr>
        <w:numPr>
          <w:ilvl w:val="0"/>
          <w:numId w:val="1"/>
        </w:numPr>
        <w:spacing w:before="0" w:after="0"/>
        <w:ind w:hanging="360"/>
        <w:contextualSpacing/>
        <w:jc w:val="both"/>
        <w:rPr>
          <w:sz w:val="22"/>
          <w:szCs w:val="22"/>
        </w:rPr>
      </w:pPr>
      <w:proofErr w:type="gramStart"/>
      <w:r>
        <w:rPr>
          <w:sz w:val="22"/>
          <w:szCs w:val="22"/>
        </w:rPr>
        <w:t>trained</w:t>
      </w:r>
      <w:proofErr w:type="gramEnd"/>
      <w:r>
        <w:rPr>
          <w:sz w:val="22"/>
          <w:szCs w:val="22"/>
        </w:rPr>
        <w:t xml:space="preserve"> ‘</w:t>
      </w:r>
      <w:r>
        <w:rPr>
          <w:b/>
          <w:sz w:val="22"/>
          <w:szCs w:val="22"/>
        </w:rPr>
        <w:t>Health Buddies</w:t>
      </w:r>
      <w:r>
        <w:rPr>
          <w:sz w:val="22"/>
          <w:szCs w:val="22"/>
        </w:rPr>
        <w:t>’, where necessary, accompany and support individuals, on a one-to-one basis, to access the services to which they have been signposted. As a patient becomes more confident, a Health Buddy will gradually reduce the level of support over a period of time (within the parameters of the agreed plan between the Health Buddy and the patient).</w:t>
      </w:r>
    </w:p>
    <w:p w:rsidR="00F777A4" w:rsidRPr="00413E90" w:rsidRDefault="00F777A4" w:rsidP="00413E90">
      <w:pPr>
        <w:spacing w:line="240" w:lineRule="auto"/>
        <w:jc w:val="both"/>
        <w:rPr>
          <w:sz w:val="12"/>
          <w:szCs w:val="12"/>
        </w:rPr>
      </w:pPr>
    </w:p>
    <w:p w:rsidR="00F777A4" w:rsidRDefault="00861E2D">
      <w:pPr>
        <w:jc w:val="both"/>
      </w:pPr>
      <w:r>
        <w:rPr>
          <w:sz w:val="22"/>
          <w:szCs w:val="22"/>
        </w:rPr>
        <w:t>Patients of Connect</w:t>
      </w:r>
      <w:r>
        <w:rPr>
          <w:b/>
          <w:sz w:val="22"/>
          <w:szCs w:val="22"/>
        </w:rPr>
        <w:t>WELL</w:t>
      </w:r>
      <w:r>
        <w:rPr>
          <w:sz w:val="22"/>
          <w:szCs w:val="22"/>
        </w:rPr>
        <w:t xml:space="preserve"> can be somebody with an issue that they would like support with, or a </w:t>
      </w:r>
      <w:proofErr w:type="spellStart"/>
      <w:r>
        <w:rPr>
          <w:sz w:val="22"/>
          <w:szCs w:val="22"/>
        </w:rPr>
        <w:t>carer</w:t>
      </w:r>
      <w:proofErr w:type="spellEnd"/>
      <w:r>
        <w:rPr>
          <w:sz w:val="22"/>
          <w:szCs w:val="22"/>
        </w:rPr>
        <w:t>, family member, friend, or neighbour of somebody that would benefit from accessing the activities available in Rugby. At the moment Connect</w:t>
      </w:r>
      <w:r>
        <w:rPr>
          <w:b/>
          <w:sz w:val="22"/>
          <w:szCs w:val="22"/>
        </w:rPr>
        <w:t>WELL</w:t>
      </w:r>
      <w:r>
        <w:rPr>
          <w:sz w:val="22"/>
          <w:szCs w:val="22"/>
        </w:rPr>
        <w:t xml:space="preserve"> only accepts referrals for patients over 18, but does work with family members of individuals younger than 18.</w:t>
      </w:r>
    </w:p>
    <w:p w:rsidR="00F777A4" w:rsidRPr="00413E90" w:rsidRDefault="00F777A4" w:rsidP="00413E90">
      <w:pPr>
        <w:spacing w:line="240" w:lineRule="auto"/>
        <w:jc w:val="both"/>
        <w:rPr>
          <w:sz w:val="12"/>
          <w:szCs w:val="12"/>
        </w:rPr>
      </w:pPr>
    </w:p>
    <w:p w:rsidR="00F777A4" w:rsidRDefault="00861E2D">
      <w:pPr>
        <w:jc w:val="both"/>
      </w:pPr>
      <w:r>
        <w:rPr>
          <w:sz w:val="22"/>
          <w:szCs w:val="22"/>
        </w:rPr>
        <w:t>Not only does the Connect</w:t>
      </w:r>
      <w:r>
        <w:rPr>
          <w:b/>
          <w:sz w:val="22"/>
          <w:szCs w:val="22"/>
        </w:rPr>
        <w:t>WELL</w:t>
      </w:r>
      <w:r>
        <w:rPr>
          <w:sz w:val="22"/>
          <w:szCs w:val="22"/>
        </w:rPr>
        <w:t xml:space="preserve"> service benefit patient care, health and wellbeing, the service also aims to reduce pressures on front-line services, through prevention or escalation of health conditions. The impact of unhealthy lifestyles, the fact that 70% of the NHS budget is spent on long term conditions, the fact that new technologies are allowing care to be delivered in different ways and enabling people to live longer, all mean that the NHS is facing competition for its resources. Social Prescribing services, such as Connect</w:t>
      </w:r>
      <w:r>
        <w:rPr>
          <w:b/>
          <w:sz w:val="22"/>
          <w:szCs w:val="22"/>
        </w:rPr>
        <w:t>WELL</w:t>
      </w:r>
      <w:r>
        <w:rPr>
          <w:sz w:val="22"/>
          <w:szCs w:val="22"/>
        </w:rPr>
        <w:t>, enhance health behaviours, health consequences, self-efficacy, social support, skills and future employment</w:t>
      </w:r>
      <w:r>
        <w:rPr>
          <w:sz w:val="22"/>
          <w:szCs w:val="22"/>
          <w:vertAlign w:val="superscript"/>
        </w:rPr>
        <w:footnoteReference w:id="1"/>
      </w:r>
      <w:r>
        <w:rPr>
          <w:sz w:val="22"/>
          <w:szCs w:val="22"/>
        </w:rPr>
        <w:t xml:space="preserve">. For example, as loneliness can cause the </w:t>
      </w:r>
      <w:r>
        <w:rPr>
          <w:sz w:val="22"/>
          <w:szCs w:val="22"/>
        </w:rPr>
        <w:lastRenderedPageBreak/>
        <w:t>onset of clinical dementia</w:t>
      </w:r>
      <w:r>
        <w:rPr>
          <w:sz w:val="22"/>
          <w:szCs w:val="22"/>
          <w:vertAlign w:val="superscript"/>
        </w:rPr>
        <w:footnoteReference w:id="2"/>
      </w:r>
      <w:r>
        <w:rPr>
          <w:sz w:val="22"/>
          <w:szCs w:val="22"/>
        </w:rPr>
        <w:t>, higher use of medication, higher incidence of falls and increased risk factors for long term care, in addition to making people more likely to visit their GP</w:t>
      </w:r>
      <w:r>
        <w:rPr>
          <w:sz w:val="22"/>
          <w:szCs w:val="22"/>
          <w:vertAlign w:val="superscript"/>
        </w:rPr>
        <w:footnoteReference w:id="3"/>
      </w:r>
      <w:r>
        <w:rPr>
          <w:sz w:val="22"/>
          <w:szCs w:val="22"/>
        </w:rPr>
        <w:t>, when Connect</w:t>
      </w:r>
      <w:r>
        <w:rPr>
          <w:b/>
          <w:sz w:val="22"/>
          <w:szCs w:val="22"/>
        </w:rPr>
        <w:t>WELL</w:t>
      </w:r>
      <w:r>
        <w:rPr>
          <w:sz w:val="22"/>
          <w:szCs w:val="22"/>
        </w:rPr>
        <w:t xml:space="preserve"> is used, it can reduce social isolation, and thus the wide ranging effects on the individual and on society, through enabling people to positively participate in society. </w:t>
      </w:r>
    </w:p>
    <w:p w:rsidR="00F777A4" w:rsidRPr="00413E90" w:rsidRDefault="00F777A4" w:rsidP="00413E90">
      <w:pPr>
        <w:spacing w:line="240" w:lineRule="auto"/>
        <w:jc w:val="both"/>
        <w:rPr>
          <w:sz w:val="12"/>
          <w:szCs w:val="12"/>
        </w:rPr>
      </w:pPr>
    </w:p>
    <w:p w:rsidR="00F777A4" w:rsidRDefault="00861E2D">
      <w:pPr>
        <w:jc w:val="both"/>
      </w:pPr>
      <w:r>
        <w:rPr>
          <w:sz w:val="22"/>
          <w:szCs w:val="22"/>
        </w:rPr>
        <w:t>Social Prescribing can be part of the concept of integrated care, which has been defined by the UK National Collaboration for Integrated Care and Support (NCICS):</w:t>
      </w:r>
      <w:r>
        <w:rPr>
          <w:color w:val="002060"/>
          <w:sz w:val="22"/>
          <w:szCs w:val="22"/>
        </w:rPr>
        <w:t xml:space="preserve"> </w:t>
      </w:r>
      <w:r>
        <w:rPr>
          <w:i/>
          <w:sz w:val="22"/>
          <w:szCs w:val="22"/>
        </w:rPr>
        <w:t xml:space="preserve">“the support built around the needs of the individual, their carers and family and that gets the most out of every penny spent’. The NCICS view is that if the illness is prevented, the condition properly managed, the fall avoided, that not only is that better care for the individual but it also means less pressure on the system (NCICS, 2013). Person-centred coordinated care and support is promoted as being </w:t>
      </w:r>
      <w:proofErr w:type="gramStart"/>
      <w:r>
        <w:rPr>
          <w:i/>
          <w:sz w:val="22"/>
          <w:szCs w:val="22"/>
        </w:rPr>
        <w:t>key</w:t>
      </w:r>
      <w:proofErr w:type="gramEnd"/>
      <w:r>
        <w:rPr>
          <w:i/>
          <w:sz w:val="22"/>
          <w:szCs w:val="22"/>
        </w:rPr>
        <w:t xml:space="preserve"> to improving outcomes for individuals who use health and social care services (NCICS, 2013)</w:t>
      </w:r>
      <w:r>
        <w:rPr>
          <w:sz w:val="22"/>
          <w:szCs w:val="22"/>
          <w:vertAlign w:val="superscript"/>
        </w:rPr>
        <w:footnoteReference w:id="4"/>
      </w:r>
      <w:r>
        <w:rPr>
          <w:i/>
          <w:sz w:val="22"/>
          <w:szCs w:val="22"/>
        </w:rPr>
        <w:t>.</w:t>
      </w:r>
      <w:r>
        <w:rPr>
          <w:sz w:val="22"/>
          <w:szCs w:val="22"/>
        </w:rPr>
        <w:t xml:space="preserve"> This concurs with the personalisation agenda seen in the Care Act 2014.</w:t>
      </w:r>
    </w:p>
    <w:p w:rsidR="00F777A4" w:rsidRPr="00413E90" w:rsidRDefault="00F777A4" w:rsidP="00413E90">
      <w:pPr>
        <w:spacing w:line="240" w:lineRule="auto"/>
        <w:jc w:val="both"/>
        <w:rPr>
          <w:sz w:val="12"/>
          <w:szCs w:val="12"/>
        </w:rPr>
      </w:pPr>
    </w:p>
    <w:p w:rsidR="00F777A4" w:rsidRDefault="00861E2D">
      <w:pPr>
        <w:jc w:val="both"/>
      </w:pPr>
      <w:r>
        <w:rPr>
          <w:sz w:val="22"/>
          <w:szCs w:val="22"/>
        </w:rPr>
        <w:t xml:space="preserve">A mid-term evaluation report has been published, and a final evaluation of Phase 1 (the Pilot Scheme) will be available in </w:t>
      </w:r>
      <w:proofErr w:type="gramStart"/>
      <w:r>
        <w:rPr>
          <w:sz w:val="22"/>
          <w:szCs w:val="22"/>
        </w:rPr>
        <w:t>Autumn</w:t>
      </w:r>
      <w:proofErr w:type="gramEnd"/>
      <w:r>
        <w:rPr>
          <w:sz w:val="22"/>
          <w:szCs w:val="22"/>
        </w:rPr>
        <w:t xml:space="preserve"> 2015. Public Health will be conducting an outcomes-based evaluation of the service for Phase 2. Those clients who have engaged so far are reporting satisfaction (often glowing satisfaction) with their experience and positive outcomes. One GP has reported that “overnight the Social Prescribing Project changed the life of one of my patients”. One patient has said: “sometimes you hate yourself so much you want to die. And you are two lovely people and have helped me start to believe in myself again. There’s nothing else like this out there – I have found.” </w:t>
      </w:r>
      <w:r>
        <w:rPr>
          <w:i/>
          <w:sz w:val="22"/>
          <w:szCs w:val="22"/>
        </w:rPr>
        <w:t>Health Buddy patient questionnaire response, May 2015.</w:t>
      </w:r>
      <w:r>
        <w:rPr>
          <w:sz w:val="22"/>
          <w:szCs w:val="22"/>
        </w:rPr>
        <w:t xml:space="preserve"> </w:t>
      </w:r>
    </w:p>
    <w:p w:rsidR="00F777A4" w:rsidRPr="00413E90" w:rsidRDefault="00F777A4" w:rsidP="00413E90">
      <w:pPr>
        <w:spacing w:line="240" w:lineRule="auto"/>
        <w:jc w:val="both"/>
        <w:rPr>
          <w:sz w:val="12"/>
          <w:szCs w:val="12"/>
        </w:rPr>
      </w:pPr>
    </w:p>
    <w:p w:rsidR="00F777A4" w:rsidRDefault="00861E2D">
      <w:pPr>
        <w:jc w:val="both"/>
      </w:pPr>
      <w:r>
        <w:rPr>
          <w:sz w:val="22"/>
          <w:szCs w:val="22"/>
        </w:rPr>
        <w:t>Connect</w:t>
      </w:r>
      <w:r>
        <w:rPr>
          <w:b/>
          <w:sz w:val="22"/>
          <w:szCs w:val="22"/>
        </w:rPr>
        <w:t xml:space="preserve">WELL </w:t>
      </w:r>
      <w:r>
        <w:rPr>
          <w:sz w:val="22"/>
          <w:szCs w:val="22"/>
        </w:rPr>
        <w:t>Hub</w:t>
      </w:r>
      <w:r w:rsidR="00413E90">
        <w:rPr>
          <w:sz w:val="22"/>
          <w:szCs w:val="22"/>
        </w:rPr>
        <w:t xml:space="preserve">s are currently located </w:t>
      </w:r>
      <w:r>
        <w:rPr>
          <w:sz w:val="22"/>
          <w:szCs w:val="22"/>
        </w:rPr>
        <w:t>at:</w:t>
      </w:r>
    </w:p>
    <w:p w:rsidR="00413E90" w:rsidRPr="00413E90" w:rsidRDefault="00861E2D" w:rsidP="00413E90">
      <w:pPr>
        <w:pStyle w:val="ListParagraph"/>
        <w:numPr>
          <w:ilvl w:val="0"/>
          <w:numId w:val="3"/>
        </w:numPr>
        <w:rPr>
          <w:color w:val="auto"/>
        </w:rPr>
      </w:pPr>
      <w:r w:rsidRPr="00413E90">
        <w:rPr>
          <w:b/>
          <w:color w:val="auto"/>
          <w:sz w:val="22"/>
          <w:szCs w:val="22"/>
        </w:rPr>
        <w:t>Rugby Health and Wellbeing Centre,</w:t>
      </w:r>
      <w:r w:rsidRPr="00413E90">
        <w:rPr>
          <w:color w:val="auto"/>
          <w:sz w:val="22"/>
          <w:szCs w:val="22"/>
        </w:rPr>
        <w:t xml:space="preserve"> </w:t>
      </w:r>
      <w:r w:rsidRPr="00413E90">
        <w:rPr>
          <w:b/>
          <w:color w:val="auto"/>
          <w:sz w:val="22"/>
          <w:szCs w:val="22"/>
        </w:rPr>
        <w:t xml:space="preserve">Drover’s Close, Railway Terrace, Rugby, </w:t>
      </w:r>
      <w:r w:rsidRPr="00413E90">
        <w:rPr>
          <w:b/>
          <w:color w:val="auto"/>
          <w:sz w:val="22"/>
          <w:szCs w:val="22"/>
          <w:highlight w:val="white"/>
        </w:rPr>
        <w:t>CV21 3HX,</w:t>
      </w:r>
    </w:p>
    <w:p w:rsidR="00413E90" w:rsidRDefault="00861E2D" w:rsidP="00413E90">
      <w:pPr>
        <w:pStyle w:val="ListParagraph"/>
        <w:rPr>
          <w:b/>
          <w:color w:val="auto"/>
          <w:sz w:val="22"/>
          <w:szCs w:val="22"/>
        </w:rPr>
      </w:pPr>
      <w:proofErr w:type="gramStart"/>
      <w:r w:rsidRPr="00413E90">
        <w:rPr>
          <w:b/>
          <w:color w:val="auto"/>
          <w:sz w:val="22"/>
          <w:szCs w:val="22"/>
          <w:highlight w:val="white"/>
        </w:rPr>
        <w:t>with</w:t>
      </w:r>
      <w:proofErr w:type="gramEnd"/>
      <w:r w:rsidRPr="00413E90">
        <w:rPr>
          <w:b/>
          <w:color w:val="auto"/>
          <w:sz w:val="22"/>
          <w:szCs w:val="22"/>
          <w:highlight w:val="white"/>
        </w:rPr>
        <w:t xml:space="preserve"> Navigator (and initial Health Buddy) sessions on Thursdays 1pm - 3pm and Fridays 10am - 12noon</w:t>
      </w:r>
    </w:p>
    <w:p w:rsidR="00413E90" w:rsidRPr="00413E90" w:rsidRDefault="00413E90" w:rsidP="00413E90">
      <w:pPr>
        <w:pStyle w:val="ListParagraph"/>
        <w:numPr>
          <w:ilvl w:val="0"/>
          <w:numId w:val="3"/>
        </w:numPr>
        <w:rPr>
          <w:color w:val="auto"/>
        </w:rPr>
      </w:pPr>
      <w:r w:rsidRPr="00413E90">
        <w:rPr>
          <w:b/>
          <w:color w:val="auto"/>
          <w:sz w:val="22"/>
          <w:szCs w:val="22"/>
        </w:rPr>
        <w:t>Brookside Surgery, Stretton-on-Dunsmore, Rugby, Warwickshire, CV23 9NH,</w:t>
      </w:r>
    </w:p>
    <w:p w:rsidR="00413E90" w:rsidRPr="00413E90" w:rsidRDefault="00413E90" w:rsidP="00413E90">
      <w:pPr>
        <w:pStyle w:val="ListParagraph"/>
        <w:rPr>
          <w:color w:val="auto"/>
        </w:rPr>
      </w:pPr>
      <w:proofErr w:type="gramStart"/>
      <w:r w:rsidRPr="00413E90">
        <w:rPr>
          <w:b/>
          <w:color w:val="auto"/>
          <w:sz w:val="22"/>
          <w:szCs w:val="22"/>
        </w:rPr>
        <w:t>with</w:t>
      </w:r>
      <w:proofErr w:type="gramEnd"/>
      <w:r w:rsidRPr="00413E90">
        <w:rPr>
          <w:b/>
          <w:color w:val="auto"/>
          <w:sz w:val="22"/>
          <w:szCs w:val="22"/>
        </w:rPr>
        <w:t xml:space="preserve"> Navigator (and initial Health Buddy) sessions on Tuesdays 12noon – 2pm</w:t>
      </w:r>
    </w:p>
    <w:p w:rsidR="00413E90" w:rsidRDefault="00861E2D">
      <w:pPr>
        <w:jc w:val="both"/>
      </w:pPr>
      <w:r>
        <w:rPr>
          <w:sz w:val="22"/>
          <w:szCs w:val="22"/>
          <w:highlight w:val="white"/>
        </w:rPr>
        <w:t>Patients referred to the service will be contacted by a member of the Connect</w:t>
      </w:r>
      <w:r>
        <w:rPr>
          <w:b/>
          <w:sz w:val="22"/>
          <w:szCs w:val="22"/>
          <w:highlight w:val="white"/>
        </w:rPr>
        <w:t>WELL</w:t>
      </w:r>
      <w:r>
        <w:rPr>
          <w:sz w:val="22"/>
          <w:szCs w:val="22"/>
          <w:highlight w:val="white"/>
        </w:rPr>
        <w:t xml:space="preserve"> team to arrange an appointment.</w:t>
      </w:r>
      <w:r w:rsidR="00413E90">
        <w:t xml:space="preserve"> </w:t>
      </w:r>
    </w:p>
    <w:p w:rsidR="00413E90" w:rsidRPr="00413E90" w:rsidRDefault="00413E90" w:rsidP="00413E90">
      <w:pPr>
        <w:spacing w:line="240" w:lineRule="auto"/>
        <w:jc w:val="both"/>
        <w:rPr>
          <w:sz w:val="12"/>
          <w:szCs w:val="12"/>
        </w:rPr>
      </w:pPr>
    </w:p>
    <w:p w:rsidR="00F777A4" w:rsidRDefault="00861E2D">
      <w:pPr>
        <w:jc w:val="both"/>
      </w:pPr>
      <w:r>
        <w:rPr>
          <w:sz w:val="22"/>
          <w:szCs w:val="22"/>
        </w:rPr>
        <w:t xml:space="preserve">Although Health Buddies or Navigators do not visit people’s houses, when necessary they can conduct their appointments via the phone, or email, to signpost the patient to services that would provide home visits where appropriate. </w:t>
      </w:r>
    </w:p>
    <w:sectPr w:rsidR="00F777A4">
      <w:headerReference w:type="default" r:id="rId9"/>
      <w:footerReference w:type="default" r:id="rId10"/>
      <w:pgSz w:w="11906" w:h="16838"/>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030" w:rsidRDefault="00977030">
      <w:pPr>
        <w:spacing w:before="0" w:after="0" w:line="240" w:lineRule="auto"/>
      </w:pPr>
      <w:r>
        <w:separator/>
      </w:r>
    </w:p>
  </w:endnote>
  <w:endnote w:type="continuationSeparator" w:id="0">
    <w:p w:rsidR="00977030" w:rsidRDefault="0097703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7A4" w:rsidRDefault="00861E2D">
    <w:pPr>
      <w:spacing w:after="720" w:line="240" w:lineRule="auto"/>
      <w:jc w:val="right"/>
    </w:pPr>
    <w:r>
      <w:t xml:space="preserve">Further enquiries: </w:t>
    </w:r>
    <w:hyperlink r:id="rId1">
      <w:r>
        <w:rPr>
          <w:color w:val="0000FF"/>
          <w:u w:val="single"/>
        </w:rPr>
        <w:t>gemma@wcava.org.uk</w:t>
      </w:r>
    </w:hyperlink>
    <w:r>
      <w:t xml:space="preserve"> </w:t>
    </w:r>
    <w:r>
      <w:tab/>
    </w:r>
    <w:r>
      <w:tab/>
      <w:t>Connect</w:t>
    </w:r>
    <w:r>
      <w:rPr>
        <w:b/>
      </w:rPr>
      <w:t>WELL</w:t>
    </w:r>
    <w:r>
      <w:t xml:space="preserve">: (01788) 539572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030" w:rsidRDefault="00977030">
      <w:pPr>
        <w:spacing w:before="0" w:after="0" w:line="240" w:lineRule="auto"/>
      </w:pPr>
      <w:r>
        <w:separator/>
      </w:r>
    </w:p>
  </w:footnote>
  <w:footnote w:type="continuationSeparator" w:id="0">
    <w:p w:rsidR="00977030" w:rsidRDefault="00977030">
      <w:pPr>
        <w:spacing w:before="0" w:after="0" w:line="240" w:lineRule="auto"/>
      </w:pPr>
      <w:r>
        <w:continuationSeparator/>
      </w:r>
    </w:p>
  </w:footnote>
  <w:footnote w:id="1">
    <w:p w:rsidR="00F777A4" w:rsidRPr="00413E90" w:rsidRDefault="00861E2D">
      <w:pPr>
        <w:spacing w:line="240" w:lineRule="auto"/>
        <w:rPr>
          <w:sz w:val="14"/>
          <w:szCs w:val="14"/>
        </w:rPr>
      </w:pPr>
      <w:bookmarkStart w:id="1" w:name="h.gjdgxs" w:colFirst="0" w:colLast="0"/>
      <w:bookmarkEnd w:id="1"/>
      <w:r w:rsidRPr="00413E90">
        <w:rPr>
          <w:sz w:val="14"/>
          <w:szCs w:val="14"/>
          <w:vertAlign w:val="superscript"/>
        </w:rPr>
        <w:footnoteRef/>
      </w:r>
      <w:r w:rsidRPr="00413E90">
        <w:rPr>
          <w:sz w:val="14"/>
          <w:szCs w:val="14"/>
        </w:rPr>
        <w:t xml:space="preserve"> Warwickshire Health and Wellbeing Strategy 2014 – 2018 Evidence review – Community Resilience, Warwickshire Health and Wellbeing Board</w:t>
      </w:r>
    </w:p>
  </w:footnote>
  <w:footnote w:id="2">
    <w:p w:rsidR="00F777A4" w:rsidRPr="00413E90" w:rsidRDefault="00861E2D">
      <w:pPr>
        <w:rPr>
          <w:sz w:val="14"/>
          <w:szCs w:val="14"/>
        </w:rPr>
      </w:pPr>
      <w:r w:rsidRPr="00413E90">
        <w:rPr>
          <w:sz w:val="14"/>
          <w:szCs w:val="14"/>
          <w:vertAlign w:val="superscript"/>
        </w:rPr>
        <w:footnoteRef/>
      </w:r>
      <w:r w:rsidRPr="00413E90">
        <w:rPr>
          <w:sz w:val="14"/>
          <w:szCs w:val="14"/>
        </w:rPr>
        <w:t xml:space="preserve"> </w:t>
      </w:r>
      <w:proofErr w:type="spellStart"/>
      <w:r w:rsidRPr="00413E90">
        <w:rPr>
          <w:color w:val="313132"/>
          <w:sz w:val="14"/>
          <w:szCs w:val="14"/>
        </w:rPr>
        <w:t>Holwerda</w:t>
      </w:r>
      <w:proofErr w:type="spellEnd"/>
      <w:r w:rsidRPr="00413E90">
        <w:rPr>
          <w:color w:val="313132"/>
          <w:sz w:val="14"/>
          <w:szCs w:val="14"/>
        </w:rPr>
        <w:t>, T. J. </w:t>
      </w:r>
      <w:proofErr w:type="spellStart"/>
      <w:r w:rsidRPr="00413E90">
        <w:rPr>
          <w:color w:val="313132"/>
          <w:sz w:val="14"/>
          <w:szCs w:val="14"/>
        </w:rPr>
        <w:t>Deeg</w:t>
      </w:r>
      <w:proofErr w:type="spellEnd"/>
      <w:r w:rsidRPr="00413E90">
        <w:rPr>
          <w:color w:val="313132"/>
          <w:sz w:val="14"/>
          <w:szCs w:val="14"/>
        </w:rPr>
        <w:t>, D., Beekman, A. van Tilburg, T.G., </w:t>
      </w:r>
      <w:proofErr w:type="spellStart"/>
      <w:r w:rsidRPr="00413E90">
        <w:rPr>
          <w:color w:val="313132"/>
          <w:sz w:val="14"/>
          <w:szCs w:val="14"/>
        </w:rPr>
        <w:t>Stek</w:t>
      </w:r>
      <w:proofErr w:type="spellEnd"/>
      <w:r w:rsidRPr="00413E90">
        <w:rPr>
          <w:color w:val="313132"/>
          <w:sz w:val="14"/>
          <w:szCs w:val="14"/>
        </w:rPr>
        <w:t xml:space="preserve">, M.L., </w:t>
      </w:r>
      <w:proofErr w:type="spellStart"/>
      <w:r w:rsidRPr="00413E90">
        <w:rPr>
          <w:color w:val="313132"/>
          <w:sz w:val="14"/>
          <w:szCs w:val="14"/>
        </w:rPr>
        <w:t>Jonker</w:t>
      </w:r>
      <w:proofErr w:type="spellEnd"/>
      <w:r w:rsidRPr="00413E90">
        <w:rPr>
          <w:color w:val="313132"/>
          <w:sz w:val="14"/>
          <w:szCs w:val="14"/>
        </w:rPr>
        <w:t xml:space="preserve">, C., and </w:t>
      </w:r>
      <w:proofErr w:type="spellStart"/>
      <w:r w:rsidRPr="00413E90">
        <w:rPr>
          <w:color w:val="313132"/>
          <w:sz w:val="14"/>
          <w:szCs w:val="14"/>
        </w:rPr>
        <w:t>Schoevers</w:t>
      </w:r>
      <w:proofErr w:type="spellEnd"/>
      <w:r w:rsidRPr="00413E90">
        <w:rPr>
          <w:color w:val="313132"/>
          <w:sz w:val="14"/>
          <w:szCs w:val="14"/>
        </w:rPr>
        <w:t xml:space="preserve">, R. (2012) </w:t>
      </w:r>
      <w:r w:rsidRPr="00413E90">
        <w:rPr>
          <w:b/>
          <w:color w:val="313132"/>
          <w:sz w:val="14"/>
          <w:szCs w:val="14"/>
        </w:rPr>
        <w:t>Research paper: Feelings of loneliness, but not social isolation, predict dementia onset: results from the Amsterdam Study of the Elderly</w:t>
      </w:r>
      <w:r w:rsidRPr="00413E90">
        <w:rPr>
          <w:color w:val="313132"/>
          <w:sz w:val="14"/>
          <w:szCs w:val="14"/>
        </w:rPr>
        <w:t xml:space="preserve"> (AMSTEL) </w:t>
      </w:r>
      <w:r w:rsidRPr="00413E90">
        <w:rPr>
          <w:i/>
          <w:color w:val="313132"/>
          <w:sz w:val="14"/>
          <w:szCs w:val="14"/>
        </w:rPr>
        <w:t xml:space="preserve">Journal of Neurology, Neurosurgery and Psychiatry </w:t>
      </w:r>
      <w:hyperlink r:id="rId1">
        <w:r w:rsidRPr="00413E90">
          <w:rPr>
            <w:color w:val="7CBE31"/>
            <w:sz w:val="14"/>
            <w:szCs w:val="14"/>
            <w:u w:val="single"/>
          </w:rPr>
          <w:t>http://jnnp.bmj.com/content/early/2012/11/06/jnnp-2012-302755</w:t>
        </w:r>
      </w:hyperlink>
      <w:r w:rsidRPr="00413E90">
        <w:rPr>
          <w:color w:val="313132"/>
          <w:sz w:val="14"/>
          <w:szCs w:val="14"/>
        </w:rPr>
        <w:t xml:space="preserve"> </w:t>
      </w:r>
      <w:r w:rsidRPr="00413E90">
        <w:rPr>
          <w:i/>
          <w:color w:val="313132"/>
          <w:sz w:val="14"/>
          <w:szCs w:val="14"/>
        </w:rPr>
        <w:t> </w:t>
      </w:r>
    </w:p>
  </w:footnote>
  <w:footnote w:id="3">
    <w:p w:rsidR="00F777A4" w:rsidRPr="00413E90" w:rsidRDefault="00861E2D">
      <w:pPr>
        <w:spacing w:line="240" w:lineRule="auto"/>
        <w:rPr>
          <w:sz w:val="14"/>
          <w:szCs w:val="14"/>
        </w:rPr>
      </w:pPr>
      <w:r w:rsidRPr="00413E90">
        <w:rPr>
          <w:sz w:val="14"/>
          <w:szCs w:val="14"/>
          <w:vertAlign w:val="superscript"/>
        </w:rPr>
        <w:footnoteRef/>
      </w:r>
      <w:r w:rsidRPr="00413E90">
        <w:rPr>
          <w:sz w:val="14"/>
          <w:szCs w:val="14"/>
        </w:rPr>
        <w:t xml:space="preserve"> </w:t>
      </w:r>
      <w:r w:rsidRPr="00413E90">
        <w:rPr>
          <w:color w:val="313132"/>
          <w:sz w:val="14"/>
          <w:szCs w:val="14"/>
        </w:rPr>
        <w:t xml:space="preserve">Cohen, G.D. et al. (2006) </w:t>
      </w:r>
      <w:r w:rsidRPr="00413E90">
        <w:rPr>
          <w:b/>
          <w:color w:val="313132"/>
          <w:sz w:val="14"/>
          <w:szCs w:val="14"/>
        </w:rPr>
        <w:t>The impact of professionally conducted cultural programs on the physical health, mental health, and social functioning of older adults</w:t>
      </w:r>
      <w:r w:rsidRPr="00413E90">
        <w:rPr>
          <w:color w:val="313132"/>
          <w:sz w:val="14"/>
          <w:szCs w:val="14"/>
        </w:rPr>
        <w:t xml:space="preserve"> </w:t>
      </w:r>
      <w:r w:rsidRPr="00413E90">
        <w:rPr>
          <w:i/>
          <w:color w:val="313132"/>
          <w:sz w:val="14"/>
          <w:szCs w:val="14"/>
        </w:rPr>
        <w:t>The Gerontologist</w:t>
      </w:r>
      <w:r w:rsidRPr="00413E90">
        <w:rPr>
          <w:color w:val="313132"/>
          <w:sz w:val="14"/>
          <w:szCs w:val="14"/>
        </w:rPr>
        <w:t xml:space="preserve"> 46 (6) </w:t>
      </w:r>
      <w:hyperlink r:id="rId2">
        <w:r w:rsidRPr="00413E90">
          <w:rPr>
            <w:color w:val="7CBE31"/>
            <w:sz w:val="14"/>
            <w:szCs w:val="14"/>
            <w:u w:val="single"/>
          </w:rPr>
          <w:t>http://gerontologist.oxfordjournals.org/content/46/6/726</w:t>
        </w:r>
      </w:hyperlink>
      <w:hyperlink r:id="rId3"/>
    </w:p>
  </w:footnote>
  <w:footnote w:id="4">
    <w:p w:rsidR="00F777A4" w:rsidRPr="00413E90" w:rsidRDefault="00861E2D">
      <w:pPr>
        <w:spacing w:line="240" w:lineRule="auto"/>
        <w:rPr>
          <w:sz w:val="14"/>
          <w:szCs w:val="14"/>
        </w:rPr>
      </w:pPr>
      <w:r w:rsidRPr="00413E90">
        <w:rPr>
          <w:sz w:val="14"/>
          <w:szCs w:val="14"/>
          <w:vertAlign w:val="superscript"/>
        </w:rPr>
        <w:footnoteRef/>
      </w:r>
      <w:r w:rsidRPr="00413E90">
        <w:rPr>
          <w:sz w:val="14"/>
          <w:szCs w:val="14"/>
        </w:rPr>
        <w:t xml:space="preserve"> Warwickshire Health and Wellbeing Strategy 2014 – 2018 Evidence review – Integration and Working Together, Warwickshire Health and Wellbeing Board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7A4" w:rsidRDefault="000B25F0">
    <w:pPr>
      <w:spacing w:before="720" w:after="0" w:line="240" w:lineRule="auto"/>
      <w:jc w:val="right"/>
    </w:pPr>
    <w:r>
      <w:rPr>
        <w:noProof/>
      </w:rPr>
      <w:drawing>
        <wp:anchor distT="0" distB="0" distL="114300" distR="114300" simplePos="0" relativeHeight="251658240" behindDoc="0" locked="0" layoutInCell="0" hidden="0" allowOverlap="0" wp14:anchorId="55EEB278" wp14:editId="41418CB0">
          <wp:simplePos x="0" y="0"/>
          <wp:positionH relativeFrom="margin">
            <wp:posOffset>-14605</wp:posOffset>
          </wp:positionH>
          <wp:positionV relativeFrom="paragraph">
            <wp:posOffset>-285115</wp:posOffset>
          </wp:positionV>
          <wp:extent cx="2107565" cy="1143000"/>
          <wp:effectExtent l="0" t="0" r="6985" b="0"/>
          <wp:wrapSquare wrapText="bothSides" distT="0" distB="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2107565" cy="1143000"/>
                  </a:xfrm>
                  <a:prstGeom prst="rect">
                    <a:avLst/>
                  </a:prstGeom>
                  <a:ln/>
                </pic:spPr>
              </pic:pic>
            </a:graphicData>
          </a:graphic>
        </wp:anchor>
      </w:drawing>
    </w:r>
    <w:r w:rsidR="00861E2D">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53B6E"/>
    <w:multiLevelType w:val="multilevel"/>
    <w:tmpl w:val="6CB0135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nsid w:val="3E5F70FA"/>
    <w:multiLevelType w:val="hybridMultilevel"/>
    <w:tmpl w:val="7E68F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FA07B75"/>
    <w:multiLevelType w:val="hybridMultilevel"/>
    <w:tmpl w:val="AD72A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777A4"/>
    <w:rsid w:val="000A0977"/>
    <w:rsid w:val="000B25F0"/>
    <w:rsid w:val="00413E90"/>
    <w:rsid w:val="00861E2D"/>
    <w:rsid w:val="00903383"/>
    <w:rsid w:val="00977030"/>
    <w:rsid w:val="00F77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lang w:val="en-GB" w:eastAsia="en-GB"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0"/>
      <w:outlineLvl w:val="0"/>
    </w:pPr>
    <w:rPr>
      <w:b/>
      <w:smallCaps/>
      <w:color w:val="FFFFFF"/>
      <w:sz w:val="22"/>
      <w:szCs w:val="22"/>
    </w:rPr>
  </w:style>
  <w:style w:type="paragraph" w:styleId="Heading2">
    <w:name w:val="heading 2"/>
    <w:basedOn w:val="Normal"/>
    <w:next w:val="Normal"/>
    <w:pPr>
      <w:keepNext/>
      <w:keepLines/>
      <w:spacing w:after="0"/>
      <w:outlineLvl w:val="1"/>
    </w:pPr>
    <w:rPr>
      <w:smallCaps/>
      <w:sz w:val="22"/>
      <w:szCs w:val="22"/>
    </w:rPr>
  </w:style>
  <w:style w:type="paragraph" w:styleId="Heading3">
    <w:name w:val="heading 3"/>
    <w:basedOn w:val="Normal"/>
    <w:next w:val="Normal"/>
    <w:pPr>
      <w:keepNext/>
      <w:keepLines/>
      <w:spacing w:before="300" w:after="0"/>
      <w:outlineLvl w:val="2"/>
    </w:pPr>
    <w:rPr>
      <w:smallCaps/>
      <w:color w:val="243F60"/>
      <w:sz w:val="22"/>
      <w:szCs w:val="22"/>
    </w:rPr>
  </w:style>
  <w:style w:type="paragraph" w:styleId="Heading4">
    <w:name w:val="heading 4"/>
    <w:basedOn w:val="Normal"/>
    <w:next w:val="Normal"/>
    <w:pPr>
      <w:keepNext/>
      <w:keepLines/>
      <w:spacing w:before="300" w:after="0"/>
      <w:outlineLvl w:val="3"/>
    </w:pPr>
    <w:rPr>
      <w:smallCaps/>
      <w:color w:val="365F91"/>
      <w:sz w:val="22"/>
      <w:szCs w:val="22"/>
    </w:rPr>
  </w:style>
  <w:style w:type="paragraph" w:styleId="Heading5">
    <w:name w:val="heading 5"/>
    <w:basedOn w:val="Normal"/>
    <w:next w:val="Normal"/>
    <w:pPr>
      <w:keepNext/>
      <w:keepLines/>
      <w:spacing w:before="300" w:after="0"/>
      <w:outlineLvl w:val="4"/>
    </w:pPr>
    <w:rPr>
      <w:smallCaps/>
      <w:color w:val="365F91"/>
      <w:sz w:val="22"/>
      <w:szCs w:val="22"/>
    </w:rPr>
  </w:style>
  <w:style w:type="paragraph" w:styleId="Heading6">
    <w:name w:val="heading 6"/>
    <w:basedOn w:val="Normal"/>
    <w:next w:val="Normal"/>
    <w:pPr>
      <w:keepNext/>
      <w:keepLines/>
      <w:spacing w:before="300" w:after="0"/>
      <w:outlineLvl w:val="5"/>
    </w:pPr>
    <w:rPr>
      <w:smallCaps/>
      <w:color w:val="365F9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720"/>
    </w:pPr>
    <w:rPr>
      <w:smallCaps/>
      <w:color w:val="4F81BD"/>
      <w:sz w:val="52"/>
      <w:szCs w:val="52"/>
    </w:rPr>
  </w:style>
  <w:style w:type="paragraph" w:styleId="Subtitle">
    <w:name w:val="Subtitle"/>
    <w:basedOn w:val="Normal"/>
    <w:next w:val="Normal"/>
    <w:pPr>
      <w:keepNext/>
      <w:keepLines/>
      <w:spacing w:after="1000" w:line="240" w:lineRule="auto"/>
    </w:pPr>
    <w:rPr>
      <w:i/>
      <w:smallCaps/>
      <w:color w:val="595959"/>
      <w:sz w:val="24"/>
      <w:szCs w:val="24"/>
    </w:rPr>
  </w:style>
  <w:style w:type="paragraph" w:styleId="ListParagraph">
    <w:name w:val="List Paragraph"/>
    <w:basedOn w:val="Normal"/>
    <w:uiPriority w:val="34"/>
    <w:qFormat/>
    <w:rsid w:val="00413E90"/>
    <w:pPr>
      <w:ind w:left="720"/>
      <w:contextualSpacing/>
    </w:pPr>
  </w:style>
  <w:style w:type="paragraph" w:styleId="Header">
    <w:name w:val="header"/>
    <w:basedOn w:val="Normal"/>
    <w:link w:val="HeaderChar"/>
    <w:uiPriority w:val="99"/>
    <w:unhideWhenUsed/>
    <w:rsid w:val="000B25F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B25F0"/>
  </w:style>
  <w:style w:type="paragraph" w:styleId="Footer">
    <w:name w:val="footer"/>
    <w:basedOn w:val="Normal"/>
    <w:link w:val="FooterChar"/>
    <w:uiPriority w:val="99"/>
    <w:unhideWhenUsed/>
    <w:rsid w:val="000B25F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B25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lang w:val="en-GB" w:eastAsia="en-GB"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0"/>
      <w:outlineLvl w:val="0"/>
    </w:pPr>
    <w:rPr>
      <w:b/>
      <w:smallCaps/>
      <w:color w:val="FFFFFF"/>
      <w:sz w:val="22"/>
      <w:szCs w:val="22"/>
    </w:rPr>
  </w:style>
  <w:style w:type="paragraph" w:styleId="Heading2">
    <w:name w:val="heading 2"/>
    <w:basedOn w:val="Normal"/>
    <w:next w:val="Normal"/>
    <w:pPr>
      <w:keepNext/>
      <w:keepLines/>
      <w:spacing w:after="0"/>
      <w:outlineLvl w:val="1"/>
    </w:pPr>
    <w:rPr>
      <w:smallCaps/>
      <w:sz w:val="22"/>
      <w:szCs w:val="22"/>
    </w:rPr>
  </w:style>
  <w:style w:type="paragraph" w:styleId="Heading3">
    <w:name w:val="heading 3"/>
    <w:basedOn w:val="Normal"/>
    <w:next w:val="Normal"/>
    <w:pPr>
      <w:keepNext/>
      <w:keepLines/>
      <w:spacing w:before="300" w:after="0"/>
      <w:outlineLvl w:val="2"/>
    </w:pPr>
    <w:rPr>
      <w:smallCaps/>
      <w:color w:val="243F60"/>
      <w:sz w:val="22"/>
      <w:szCs w:val="22"/>
    </w:rPr>
  </w:style>
  <w:style w:type="paragraph" w:styleId="Heading4">
    <w:name w:val="heading 4"/>
    <w:basedOn w:val="Normal"/>
    <w:next w:val="Normal"/>
    <w:pPr>
      <w:keepNext/>
      <w:keepLines/>
      <w:spacing w:before="300" w:after="0"/>
      <w:outlineLvl w:val="3"/>
    </w:pPr>
    <w:rPr>
      <w:smallCaps/>
      <w:color w:val="365F91"/>
      <w:sz w:val="22"/>
      <w:szCs w:val="22"/>
    </w:rPr>
  </w:style>
  <w:style w:type="paragraph" w:styleId="Heading5">
    <w:name w:val="heading 5"/>
    <w:basedOn w:val="Normal"/>
    <w:next w:val="Normal"/>
    <w:pPr>
      <w:keepNext/>
      <w:keepLines/>
      <w:spacing w:before="300" w:after="0"/>
      <w:outlineLvl w:val="4"/>
    </w:pPr>
    <w:rPr>
      <w:smallCaps/>
      <w:color w:val="365F91"/>
      <w:sz w:val="22"/>
      <w:szCs w:val="22"/>
    </w:rPr>
  </w:style>
  <w:style w:type="paragraph" w:styleId="Heading6">
    <w:name w:val="heading 6"/>
    <w:basedOn w:val="Normal"/>
    <w:next w:val="Normal"/>
    <w:pPr>
      <w:keepNext/>
      <w:keepLines/>
      <w:spacing w:before="300" w:after="0"/>
      <w:outlineLvl w:val="5"/>
    </w:pPr>
    <w:rPr>
      <w:smallCaps/>
      <w:color w:val="365F9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720"/>
    </w:pPr>
    <w:rPr>
      <w:smallCaps/>
      <w:color w:val="4F81BD"/>
      <w:sz w:val="52"/>
      <w:szCs w:val="52"/>
    </w:rPr>
  </w:style>
  <w:style w:type="paragraph" w:styleId="Subtitle">
    <w:name w:val="Subtitle"/>
    <w:basedOn w:val="Normal"/>
    <w:next w:val="Normal"/>
    <w:pPr>
      <w:keepNext/>
      <w:keepLines/>
      <w:spacing w:after="1000" w:line="240" w:lineRule="auto"/>
    </w:pPr>
    <w:rPr>
      <w:i/>
      <w:smallCaps/>
      <w:color w:val="595959"/>
      <w:sz w:val="24"/>
      <w:szCs w:val="24"/>
    </w:rPr>
  </w:style>
  <w:style w:type="paragraph" w:styleId="ListParagraph">
    <w:name w:val="List Paragraph"/>
    <w:basedOn w:val="Normal"/>
    <w:uiPriority w:val="34"/>
    <w:qFormat/>
    <w:rsid w:val="00413E90"/>
    <w:pPr>
      <w:ind w:left="720"/>
      <w:contextualSpacing/>
    </w:pPr>
  </w:style>
  <w:style w:type="paragraph" w:styleId="Header">
    <w:name w:val="header"/>
    <w:basedOn w:val="Normal"/>
    <w:link w:val="HeaderChar"/>
    <w:uiPriority w:val="99"/>
    <w:unhideWhenUsed/>
    <w:rsid w:val="000B25F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B25F0"/>
  </w:style>
  <w:style w:type="paragraph" w:styleId="Footer">
    <w:name w:val="footer"/>
    <w:basedOn w:val="Normal"/>
    <w:link w:val="FooterChar"/>
    <w:uiPriority w:val="99"/>
    <w:unhideWhenUsed/>
    <w:rsid w:val="000B25F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B2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gemma@wcava.org.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gerontologist.oxfordjournals.org/content/46/6/726" TargetMode="External"/><Relationship Id="rId2" Type="http://schemas.openxmlformats.org/officeDocument/2006/relationships/hyperlink" Target="http://gerontologist.oxfordjournals.org/content/46/6/726" TargetMode="External"/><Relationship Id="rId1" Type="http://schemas.openxmlformats.org/officeDocument/2006/relationships/hyperlink" Target="http://jnnp.bmj.com/content/early/2012/11/06/jnnp-2012-30275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DA7FA-587F-4DA8-994C-BBF17DB9D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Coventry &amp; Warwickshire Partnerhip Trust</Company>
  <LinksUpToDate>false</LinksUpToDate>
  <CharactersWithSpaces>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Vi (05A) NHS Coventry and Rugby CCG</dc:creator>
  <cp:lastModifiedBy>Bollu Manjari (RYG) C&amp;W PARTNERSHIP TRUST</cp:lastModifiedBy>
  <cp:revision>2</cp:revision>
  <dcterms:created xsi:type="dcterms:W3CDTF">2015-12-02T11:57:00Z</dcterms:created>
  <dcterms:modified xsi:type="dcterms:W3CDTF">2015-12-02T11:57:00Z</dcterms:modified>
</cp:coreProperties>
</file>